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rPr>
          <w:rFonts w:ascii="宋体" w:hAnsi="宋体" w:cs="宋体"/>
          <w:b/>
          <w:sz w:val="48"/>
          <w:szCs w:val="48"/>
        </w:rPr>
      </w:pPr>
      <w:bookmarkStart w:id="0" w:name="_Toc24636"/>
      <w:bookmarkStart w:id="1" w:name="_Toc25348"/>
    </w:p>
    <w:p>
      <w:pPr>
        <w:jc w:val="center"/>
        <w:rPr>
          <w:rFonts w:ascii="黑体" w:hAnsi="黑体" w:eastAsia="黑体" w:cs="黑体"/>
          <w:bCs/>
          <w:spacing w:val="-24"/>
          <w:sz w:val="48"/>
          <w:szCs w:val="48"/>
          <w:shd w:val="clear" w:color="auto" w:fill="FFFFFF"/>
        </w:rPr>
      </w:pPr>
      <w:r>
        <w:rPr>
          <w:rFonts w:hint="eastAsia" w:ascii="黑体" w:hAnsi="黑体" w:eastAsia="黑体" w:cs="黑体"/>
          <w:bCs/>
          <w:spacing w:val="-24"/>
          <w:sz w:val="48"/>
          <w:szCs w:val="48"/>
          <w:shd w:val="clear" w:color="auto" w:fill="FFFFFF"/>
        </w:rPr>
        <w:t>四川信息职业技术学院保卫处</w:t>
      </w:r>
    </w:p>
    <w:p>
      <w:pPr>
        <w:jc w:val="center"/>
        <w:rPr>
          <w:rFonts w:ascii="黑体" w:hAnsi="黑体" w:eastAsia="黑体" w:cs="黑体"/>
          <w:bCs/>
          <w:spacing w:val="-24"/>
          <w:sz w:val="48"/>
          <w:szCs w:val="48"/>
          <w:shd w:val="clear" w:color="auto" w:fill="FFFFFF"/>
        </w:rPr>
      </w:pPr>
      <w:r>
        <w:rPr>
          <w:rFonts w:hint="eastAsia" w:ascii="黑体" w:hAnsi="黑体" w:eastAsia="黑体" w:cs="黑体"/>
          <w:bCs/>
          <w:spacing w:val="-24"/>
          <w:sz w:val="48"/>
          <w:szCs w:val="48"/>
          <w:shd w:val="clear" w:color="auto" w:fill="FFFFFF"/>
        </w:rPr>
        <w:t>消防维修施工采购项目</w:t>
      </w:r>
    </w:p>
    <w:p>
      <w:pPr>
        <w:pStyle w:val="16"/>
        <w:rPr>
          <w:rFonts w:ascii="宋体" w:hAnsi="宋体" w:cs="宋体"/>
        </w:rPr>
      </w:pPr>
    </w:p>
    <w:p>
      <w:pPr>
        <w:rPr>
          <w:rFonts w:hAnsi="宋体" w:cs="宋体"/>
        </w:rPr>
      </w:pPr>
    </w:p>
    <w:p>
      <w:pPr>
        <w:pStyle w:val="2"/>
        <w:rPr>
          <w:rFonts w:ascii="宋体" w:hAnsi="宋体" w:cs="宋体"/>
        </w:rPr>
      </w:pPr>
    </w:p>
    <w:p>
      <w:pPr>
        <w:jc w:val="center"/>
        <w:rPr>
          <w:rFonts w:hAnsi="宋体" w:cs="宋体"/>
          <w:b/>
          <w:sz w:val="72"/>
          <w:szCs w:val="72"/>
        </w:rPr>
      </w:pPr>
      <w:r>
        <w:rPr>
          <w:rFonts w:hint="eastAsia" w:hAnsi="宋体" w:cs="宋体"/>
          <w:b/>
          <w:sz w:val="72"/>
          <w:szCs w:val="72"/>
        </w:rPr>
        <w:t>询</w:t>
      </w:r>
    </w:p>
    <w:p>
      <w:pPr>
        <w:jc w:val="center"/>
        <w:rPr>
          <w:rFonts w:hAnsi="宋体" w:cs="宋体"/>
          <w:b/>
          <w:sz w:val="72"/>
          <w:szCs w:val="72"/>
        </w:rPr>
      </w:pPr>
      <w:r>
        <w:rPr>
          <w:rFonts w:hint="eastAsia" w:hAnsi="宋体" w:cs="宋体"/>
          <w:b/>
          <w:sz w:val="72"/>
          <w:szCs w:val="72"/>
        </w:rPr>
        <w:t>价</w:t>
      </w:r>
    </w:p>
    <w:p>
      <w:pPr>
        <w:jc w:val="center"/>
        <w:rPr>
          <w:rFonts w:hAnsi="宋体" w:cs="宋体"/>
          <w:b/>
          <w:sz w:val="72"/>
          <w:szCs w:val="72"/>
        </w:rPr>
      </w:pPr>
      <w:r>
        <w:rPr>
          <w:rFonts w:hint="eastAsia" w:hAnsi="宋体" w:cs="宋体"/>
          <w:b/>
          <w:sz w:val="72"/>
          <w:szCs w:val="72"/>
        </w:rPr>
        <w:t>通</w:t>
      </w:r>
    </w:p>
    <w:p>
      <w:pPr>
        <w:jc w:val="center"/>
        <w:rPr>
          <w:rFonts w:hAnsi="宋体" w:cs="宋体"/>
          <w:b/>
          <w:sz w:val="72"/>
          <w:szCs w:val="72"/>
        </w:rPr>
      </w:pPr>
      <w:r>
        <w:rPr>
          <w:rFonts w:hint="eastAsia" w:hAnsi="宋体" w:cs="宋体"/>
          <w:b/>
          <w:sz w:val="72"/>
          <w:szCs w:val="72"/>
        </w:rPr>
        <w:t>知</w:t>
      </w:r>
    </w:p>
    <w:p>
      <w:pPr>
        <w:jc w:val="center"/>
        <w:rPr>
          <w:rFonts w:hAnsi="宋体" w:cs="宋体"/>
          <w:b/>
          <w:sz w:val="72"/>
          <w:szCs w:val="72"/>
        </w:rPr>
      </w:pPr>
      <w:r>
        <w:rPr>
          <w:rFonts w:hint="eastAsia" w:hAnsi="宋体" w:cs="宋体"/>
          <w:b/>
          <w:sz w:val="72"/>
          <w:szCs w:val="72"/>
        </w:rPr>
        <w:t>书</w:t>
      </w:r>
    </w:p>
    <w:p>
      <w:pPr>
        <w:spacing w:line="360" w:lineRule="auto"/>
        <w:rPr>
          <w:rFonts w:hAnsi="宋体" w:cs="宋体"/>
          <w:b/>
          <w:sz w:val="32"/>
          <w:szCs w:val="32"/>
        </w:rPr>
      </w:pPr>
    </w:p>
    <w:p>
      <w:pPr>
        <w:pStyle w:val="16"/>
        <w:spacing w:line="360" w:lineRule="auto"/>
        <w:ind w:firstLine="0"/>
        <w:rPr>
          <w:rFonts w:ascii="宋体" w:hAnsi="宋体" w:cs="宋体"/>
        </w:rPr>
      </w:pPr>
    </w:p>
    <w:p>
      <w:pPr>
        <w:spacing w:line="360" w:lineRule="auto"/>
      </w:pPr>
    </w:p>
    <w:p>
      <w:pPr>
        <w:pStyle w:val="2"/>
        <w:spacing w:line="360" w:lineRule="auto"/>
      </w:pPr>
    </w:p>
    <w:p>
      <w:pPr>
        <w:pStyle w:val="32"/>
        <w:spacing w:line="360" w:lineRule="auto"/>
        <w:ind w:left="0" w:leftChars="0" w:firstLine="0" w:firstLineChars="0"/>
        <w:jc w:val="left"/>
        <w:rPr>
          <w:rFonts w:hAnsi="宋体" w:cs="宋体"/>
          <w:sz w:val="28"/>
          <w:szCs w:val="28"/>
        </w:rPr>
      </w:pPr>
    </w:p>
    <w:p>
      <w:pPr>
        <w:spacing w:line="360" w:lineRule="auto"/>
        <w:jc w:val="center"/>
        <w:rPr>
          <w:rFonts w:hAnsi="宋体" w:cs="宋体"/>
          <w:b/>
          <w:sz w:val="28"/>
          <w:szCs w:val="28"/>
        </w:rPr>
      </w:pPr>
      <w:r>
        <w:rPr>
          <w:rFonts w:hint="eastAsia" w:hAnsi="宋体" w:cs="宋体"/>
          <w:b/>
          <w:sz w:val="28"/>
          <w:szCs w:val="28"/>
        </w:rPr>
        <w:t>中国·四川（广元）</w:t>
      </w:r>
    </w:p>
    <w:p>
      <w:pPr>
        <w:spacing w:line="360" w:lineRule="auto"/>
        <w:jc w:val="center"/>
        <w:rPr>
          <w:rFonts w:hAnsi="宋体" w:cs="宋体"/>
          <w:b/>
          <w:sz w:val="28"/>
          <w:szCs w:val="28"/>
        </w:rPr>
      </w:pPr>
      <w:r>
        <w:rPr>
          <w:rFonts w:hint="eastAsia" w:hAnsi="宋体" w:cs="宋体"/>
          <w:b/>
          <w:sz w:val="28"/>
          <w:szCs w:val="28"/>
        </w:rPr>
        <w:t>采购单位：四川信息职业技术学院</w:t>
      </w:r>
    </w:p>
    <w:p>
      <w:pPr>
        <w:pStyle w:val="34"/>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2022年1月</w:t>
      </w:r>
    </w:p>
    <w:p>
      <w:pPr>
        <w:pStyle w:val="34"/>
        <w:rPr>
          <w:rFonts w:ascii="宋体" w:hAnsi="宋体" w:eastAsia="宋体" w:cs="宋体"/>
          <w:color w:val="auto"/>
        </w:rPr>
        <w:sectPr>
          <w:footerReference r:id="rId4" w:type="default"/>
          <w:headerReference r:id="rId3" w:type="even"/>
          <w:footerReference r:id="rId5" w:type="even"/>
          <w:pgSz w:w="11850" w:h="16783"/>
          <w:pgMar w:top="1440" w:right="1800" w:bottom="1440" w:left="1800" w:header="851" w:footer="992" w:gutter="0"/>
          <w:pgNumType w:fmt="numberInDash" w:start="1"/>
          <w:cols w:space="720" w:num="1"/>
          <w:docGrid w:linePitch="312" w:charSpace="0"/>
        </w:sectPr>
      </w:pPr>
    </w:p>
    <w:p>
      <w:pPr>
        <w:pStyle w:val="4"/>
        <w:keepNext w:val="0"/>
        <w:keepLines w:val="0"/>
        <w:spacing w:before="260" w:after="260" w:line="360" w:lineRule="auto"/>
        <w:jc w:val="center"/>
        <w:rPr>
          <w:bCs w:val="0"/>
          <w:sz w:val="36"/>
        </w:rPr>
      </w:pPr>
      <w:r>
        <w:rPr>
          <w:rFonts w:hint="eastAsia"/>
          <w:bCs w:val="0"/>
          <w:sz w:val="36"/>
        </w:rPr>
        <w:t>第一章  询价邀请</w:t>
      </w:r>
      <w:bookmarkEnd w:id="0"/>
    </w:p>
    <w:p>
      <w:pPr>
        <w:spacing w:line="360" w:lineRule="auto"/>
        <w:ind w:firstLine="480" w:firstLineChars="200"/>
        <w:jc w:val="left"/>
        <w:rPr>
          <w:rFonts w:hAnsi="宋体"/>
          <w:sz w:val="24"/>
          <w:szCs w:val="28"/>
        </w:rPr>
      </w:pPr>
      <w:r>
        <w:rPr>
          <w:rFonts w:hint="eastAsia" w:hAnsi="宋体"/>
          <w:kern w:val="2"/>
          <w:sz w:val="24"/>
          <w:szCs w:val="24"/>
        </w:rPr>
        <w:t>四川信息职业技术学院保卫处对消防</w:t>
      </w:r>
      <w:r>
        <w:rPr>
          <w:rFonts w:hint="eastAsia" w:hAnsi="宋体"/>
          <w:kern w:val="2"/>
          <w:sz w:val="24"/>
          <w:szCs w:val="24"/>
          <w:lang w:val="en-US" w:eastAsia="zh-CN"/>
        </w:rPr>
        <w:t>维修施工</w:t>
      </w:r>
      <w:r>
        <w:rPr>
          <w:rFonts w:hint="eastAsia" w:hAnsi="宋体"/>
          <w:sz w:val="24"/>
          <w:szCs w:val="32"/>
        </w:rPr>
        <w:t>拟</w:t>
      </w:r>
      <w:r>
        <w:rPr>
          <w:rFonts w:hint="eastAsia" w:hAnsi="宋体" w:cs="宋体"/>
          <w:sz w:val="24"/>
          <w:szCs w:val="32"/>
        </w:rPr>
        <w:t>采用询价方式</w:t>
      </w:r>
      <w:r>
        <w:rPr>
          <w:rFonts w:hint="eastAsia" w:hAnsi="宋体" w:cs="宋体"/>
          <w:sz w:val="24"/>
        </w:rPr>
        <w:t>进行采购，特</w:t>
      </w:r>
      <w:r>
        <w:rPr>
          <w:rFonts w:hint="eastAsia" w:hAnsi="宋体" w:cs="宋体"/>
          <w:sz w:val="24"/>
          <w:szCs w:val="28"/>
        </w:rPr>
        <w:t>邀请符合本次采购要求的供应商参加</w:t>
      </w:r>
      <w:r>
        <w:rPr>
          <w:rFonts w:hint="eastAsia" w:hAnsi="宋体" w:cs="宋体"/>
          <w:sz w:val="24"/>
        </w:rPr>
        <w:t>报价</w:t>
      </w:r>
      <w:r>
        <w:rPr>
          <w:rFonts w:hint="eastAsia" w:hAnsi="宋体"/>
          <w:sz w:val="24"/>
          <w:szCs w:val="28"/>
        </w:rPr>
        <w:t>。</w:t>
      </w:r>
    </w:p>
    <w:p>
      <w:pPr>
        <w:spacing w:line="360" w:lineRule="auto"/>
        <w:ind w:firstLine="482" w:firstLineChars="200"/>
        <w:outlineLvl w:val="2"/>
        <w:rPr>
          <w:rFonts w:hAnsi="宋体"/>
          <w:b/>
          <w:sz w:val="24"/>
        </w:rPr>
      </w:pPr>
      <w:bookmarkStart w:id="2" w:name="_Toc509559397"/>
      <w:bookmarkStart w:id="3" w:name="_Toc1956"/>
      <w:r>
        <w:rPr>
          <w:rFonts w:hint="eastAsia" w:hAnsi="宋体"/>
          <w:b/>
          <w:sz w:val="24"/>
        </w:rPr>
        <w:t>一、采购项目基本情况</w:t>
      </w:r>
      <w:bookmarkEnd w:id="2"/>
      <w:bookmarkEnd w:id="3"/>
    </w:p>
    <w:p>
      <w:pPr>
        <w:spacing w:line="360" w:lineRule="auto"/>
        <w:ind w:firstLine="480" w:firstLineChars="200"/>
        <w:rPr>
          <w:rFonts w:hAnsi="宋体" w:cs="宋体"/>
          <w:sz w:val="24"/>
          <w:szCs w:val="28"/>
        </w:rPr>
      </w:pPr>
      <w:r>
        <w:rPr>
          <w:rFonts w:hint="eastAsia" w:hAnsi="宋体" w:cs="宋体"/>
          <w:sz w:val="24"/>
          <w:szCs w:val="28"/>
        </w:rPr>
        <w:t>1、采购项目名称：四川信息职业技术学院保卫处消防维修施工采购项目</w:t>
      </w:r>
    </w:p>
    <w:p>
      <w:pPr>
        <w:spacing w:line="360" w:lineRule="auto"/>
        <w:ind w:firstLine="480" w:firstLineChars="200"/>
        <w:rPr>
          <w:rFonts w:hAnsi="宋体" w:cs="宋体"/>
          <w:sz w:val="24"/>
          <w:szCs w:val="28"/>
        </w:rPr>
      </w:pPr>
      <w:r>
        <w:rPr>
          <w:rFonts w:hint="eastAsia" w:hAnsi="宋体" w:cs="宋体"/>
          <w:sz w:val="24"/>
          <w:szCs w:val="28"/>
        </w:rPr>
        <w:t>2、采购人：四川信息职业技术学院保卫处</w:t>
      </w:r>
    </w:p>
    <w:p>
      <w:pPr>
        <w:spacing w:line="360" w:lineRule="auto"/>
        <w:ind w:firstLine="482" w:firstLineChars="200"/>
        <w:outlineLvl w:val="2"/>
        <w:rPr>
          <w:rFonts w:hAnsi="宋体"/>
          <w:b/>
          <w:sz w:val="24"/>
        </w:rPr>
      </w:pPr>
      <w:bookmarkStart w:id="4" w:name="_Toc11676"/>
      <w:bookmarkStart w:id="5" w:name="_Toc509559398"/>
      <w:r>
        <w:rPr>
          <w:rFonts w:hint="eastAsia" w:hAnsi="宋体"/>
          <w:b/>
          <w:sz w:val="24"/>
        </w:rPr>
        <w:t>二、资金情况</w:t>
      </w:r>
      <w:bookmarkEnd w:id="4"/>
      <w:bookmarkEnd w:id="5"/>
    </w:p>
    <w:p>
      <w:pPr>
        <w:spacing w:line="360" w:lineRule="auto"/>
        <w:ind w:right="51" w:rightChars="15" w:firstLine="480" w:firstLineChars="200"/>
        <w:rPr>
          <w:rFonts w:hAnsi="宋体"/>
          <w:b/>
          <w:bCs/>
          <w:sz w:val="24"/>
        </w:rPr>
      </w:pPr>
      <w:r>
        <w:rPr>
          <w:rFonts w:hint="eastAsia" w:hAnsi="宋体"/>
          <w:sz w:val="24"/>
        </w:rPr>
        <w:t>资金来源及金额：财政资金-二级经费，最高限价</w:t>
      </w:r>
      <w:r>
        <w:rPr>
          <w:rFonts w:hint="eastAsia" w:hAnsi="宋体"/>
          <w:sz w:val="24"/>
          <w:lang w:val="en-US" w:eastAsia="zh-CN"/>
        </w:rPr>
        <w:t>3</w:t>
      </w:r>
      <w:r>
        <w:rPr>
          <w:rFonts w:hint="eastAsia" w:hAnsi="宋体"/>
          <w:sz w:val="24"/>
        </w:rPr>
        <w:t>5000.00元。</w:t>
      </w:r>
    </w:p>
    <w:p>
      <w:pPr>
        <w:numPr>
          <w:ilvl w:val="0"/>
          <w:numId w:val="2"/>
        </w:numPr>
        <w:spacing w:line="360" w:lineRule="auto"/>
        <w:ind w:firstLine="482" w:firstLineChars="200"/>
        <w:outlineLvl w:val="2"/>
        <w:rPr>
          <w:rFonts w:hAnsi="宋体"/>
          <w:b/>
          <w:sz w:val="24"/>
        </w:rPr>
      </w:pPr>
      <w:bookmarkStart w:id="6" w:name="_Toc509559399"/>
      <w:bookmarkStart w:id="7" w:name="_Toc24023"/>
      <w:r>
        <w:rPr>
          <w:rFonts w:hint="eastAsia" w:hAnsi="宋体"/>
          <w:b/>
          <w:sz w:val="24"/>
        </w:rPr>
        <w:t>采购项目简介</w:t>
      </w:r>
      <w:bookmarkEnd w:id="6"/>
      <w:bookmarkEnd w:id="7"/>
    </w:p>
    <w:p>
      <w:pPr>
        <w:spacing w:line="360" w:lineRule="auto"/>
        <w:ind w:firstLine="480" w:firstLineChars="200"/>
        <w:rPr>
          <w:rFonts w:hint="eastAsia"/>
          <w:lang w:val="en-US" w:eastAsia="zh-CN"/>
        </w:rPr>
      </w:pPr>
      <w:bookmarkStart w:id="8" w:name="_Toc509559400"/>
      <w:bookmarkStart w:id="9" w:name="_Toc31724"/>
      <w:r>
        <w:rPr>
          <w:rFonts w:hint="eastAsia" w:hAnsi="宋体" w:cs="宋体"/>
          <w:b w:val="0"/>
          <w:bCs/>
          <w:sz w:val="24"/>
          <w:lang w:eastAsia="zh-CN"/>
        </w:rPr>
        <w:t>室外消火栓及水泵接合器更换、综合楼室内消火栓蝶阀更换、消防管网部分闸阀更换，室外消火栓检修井施工及老院消火栓改造、消火栓箱体（更换）（含开挖、垫层施工、闸阀安装、砌筑、回填等）。</w:t>
      </w:r>
    </w:p>
    <w:p>
      <w:pPr>
        <w:pStyle w:val="2"/>
        <w:spacing w:after="0" w:line="360" w:lineRule="auto"/>
        <w:ind w:firstLine="482" w:firstLineChars="200"/>
        <w:rPr>
          <w:rFonts w:hAnsi="宋体"/>
          <w:b/>
          <w:sz w:val="24"/>
        </w:rPr>
      </w:pPr>
      <w:r>
        <w:rPr>
          <w:rFonts w:hint="eastAsia" w:hAnsi="宋体"/>
          <w:b/>
          <w:sz w:val="24"/>
        </w:rPr>
        <w:t>四、供应商邀请方式</w:t>
      </w:r>
      <w:bookmarkEnd w:id="8"/>
      <w:bookmarkEnd w:id="9"/>
    </w:p>
    <w:p>
      <w:pPr>
        <w:spacing w:line="360" w:lineRule="auto"/>
        <w:ind w:firstLine="480" w:firstLineChars="200"/>
        <w:rPr>
          <w:rFonts w:hAnsi="宋体"/>
          <w:sz w:val="24"/>
        </w:rPr>
      </w:pPr>
      <w:r>
        <w:rPr>
          <w:rFonts w:hint="eastAsia" w:hAnsi="宋体"/>
          <w:sz w:val="24"/>
        </w:rPr>
        <w:t>公告方式：本次询价邀请在四川信息职业技术学院（</w:t>
      </w:r>
      <w:r>
        <w:rPr>
          <w:rFonts w:hAnsi="宋体"/>
          <w:sz w:val="24"/>
        </w:rPr>
        <w:t>http://</w:t>
      </w:r>
      <w:r>
        <w:rPr>
          <w:rFonts w:hint="eastAsia" w:hAnsi="宋体"/>
          <w:sz w:val="24"/>
        </w:rPr>
        <w:t>www</w:t>
      </w:r>
      <w:r>
        <w:rPr>
          <w:rFonts w:hAnsi="宋体"/>
          <w:sz w:val="24"/>
        </w:rPr>
        <w:t>.scitc.com.cn/</w:t>
      </w:r>
      <w:r>
        <w:rPr>
          <w:rFonts w:hint="eastAsia" w:hAnsi="宋体"/>
          <w:sz w:val="24"/>
        </w:rPr>
        <w:t>）主页通知公告栏发布。</w:t>
      </w:r>
    </w:p>
    <w:p>
      <w:pPr>
        <w:spacing w:line="360" w:lineRule="auto"/>
        <w:ind w:firstLine="482" w:firstLineChars="200"/>
        <w:outlineLvl w:val="2"/>
        <w:rPr>
          <w:rFonts w:hAnsi="宋体"/>
          <w:b/>
          <w:sz w:val="24"/>
        </w:rPr>
      </w:pPr>
      <w:r>
        <w:rPr>
          <w:rFonts w:hint="eastAsia" w:hAnsi="宋体"/>
          <w:b/>
          <w:sz w:val="24"/>
        </w:rPr>
        <w:t>五、</w:t>
      </w:r>
      <w:bookmarkStart w:id="10" w:name="_Toc5582"/>
      <w:bookmarkStart w:id="11" w:name="_Toc509559401"/>
      <w:r>
        <w:rPr>
          <w:rFonts w:hint="eastAsia" w:hAnsi="宋体"/>
          <w:b/>
          <w:sz w:val="24"/>
        </w:rPr>
        <w:t>供应商参加本次采购活动应具备下列条件</w:t>
      </w:r>
      <w:bookmarkEnd w:id="10"/>
      <w:bookmarkEnd w:id="11"/>
    </w:p>
    <w:p>
      <w:pPr>
        <w:spacing w:line="360" w:lineRule="auto"/>
        <w:ind w:firstLine="480" w:firstLineChars="200"/>
        <w:rPr>
          <w:rFonts w:hAnsi="宋体"/>
          <w:sz w:val="24"/>
        </w:rPr>
      </w:pPr>
      <w:bookmarkStart w:id="12" w:name="OLE_LINK4"/>
      <w:bookmarkStart w:id="13" w:name="OLE_LINK3"/>
      <w:bookmarkStart w:id="14" w:name="_Toc509559403"/>
      <w:bookmarkStart w:id="15" w:name="_Toc18805"/>
      <w:r>
        <w:rPr>
          <w:rFonts w:hint="eastAsia" w:hAnsi="宋体"/>
          <w:sz w:val="24"/>
        </w:rPr>
        <w:t>（一）具有独立承担民事责任的能力</w:t>
      </w:r>
      <w:r>
        <w:rPr>
          <w:rFonts w:hint="eastAsia" w:hAnsi="宋体"/>
          <w:sz w:val="24"/>
          <w:lang w:eastAsia="zh-CN"/>
        </w:rPr>
        <w:t>（</w:t>
      </w:r>
      <w:r>
        <w:rPr>
          <w:rFonts w:hint="eastAsia" w:hAnsi="宋体"/>
          <w:sz w:val="24"/>
          <w:lang w:val="en-US" w:eastAsia="zh-CN"/>
        </w:rPr>
        <w:t>经营许可范围须包含消防设施工程施工</w:t>
      </w:r>
      <w:r>
        <w:rPr>
          <w:rFonts w:hint="eastAsia" w:hAnsi="宋体"/>
          <w:sz w:val="24"/>
          <w:lang w:eastAsia="zh-CN"/>
        </w:rPr>
        <w:t>）</w:t>
      </w:r>
      <w:r>
        <w:rPr>
          <w:rFonts w:hint="eastAsia" w:hAnsi="宋体"/>
          <w:sz w:val="24"/>
        </w:rPr>
        <w:t>；</w:t>
      </w:r>
    </w:p>
    <w:p>
      <w:pPr>
        <w:spacing w:line="360" w:lineRule="auto"/>
        <w:ind w:firstLine="480" w:firstLineChars="200"/>
        <w:rPr>
          <w:rFonts w:hAnsi="宋体"/>
          <w:sz w:val="24"/>
        </w:rPr>
      </w:pPr>
      <w:r>
        <w:rPr>
          <w:rFonts w:hint="eastAsia" w:hAnsi="宋体"/>
          <w:sz w:val="24"/>
        </w:rPr>
        <w:t>（二）具有良好的商业信誉和健全的财务会计制度；</w:t>
      </w:r>
    </w:p>
    <w:p>
      <w:pPr>
        <w:spacing w:line="360" w:lineRule="auto"/>
        <w:ind w:firstLine="480" w:firstLineChars="200"/>
        <w:rPr>
          <w:rFonts w:hAnsi="宋体"/>
          <w:sz w:val="24"/>
        </w:rPr>
      </w:pPr>
      <w:r>
        <w:rPr>
          <w:rFonts w:hint="eastAsia" w:hAnsi="宋体"/>
          <w:sz w:val="24"/>
        </w:rPr>
        <w:t>（三）具有履行合同所必需的设备和专业技术能力；</w:t>
      </w:r>
    </w:p>
    <w:p>
      <w:pPr>
        <w:spacing w:line="360" w:lineRule="auto"/>
        <w:ind w:firstLine="480" w:firstLineChars="200"/>
        <w:rPr>
          <w:rFonts w:hAnsi="宋体"/>
          <w:sz w:val="24"/>
        </w:rPr>
      </w:pPr>
      <w:r>
        <w:rPr>
          <w:rFonts w:hint="eastAsia" w:hAnsi="宋体"/>
          <w:sz w:val="24"/>
        </w:rPr>
        <w:t>（四）有依法缴纳税收和社会保障资金的良好记录；</w:t>
      </w:r>
    </w:p>
    <w:p>
      <w:pPr>
        <w:spacing w:line="360" w:lineRule="auto"/>
        <w:ind w:firstLine="480" w:firstLineChars="200"/>
        <w:rPr>
          <w:rFonts w:hint="eastAsia" w:hAnsi="宋体"/>
          <w:sz w:val="24"/>
        </w:rPr>
      </w:pPr>
      <w:r>
        <w:rPr>
          <w:rFonts w:hint="eastAsia" w:hAnsi="宋体"/>
          <w:sz w:val="24"/>
        </w:rPr>
        <w:t>（五）参加政府采购活动前三年内，在经营活动中没有重大违法记录；</w:t>
      </w:r>
    </w:p>
    <w:p>
      <w:pPr>
        <w:spacing w:line="360" w:lineRule="auto"/>
        <w:ind w:firstLine="480" w:firstLineChars="200"/>
        <w:rPr>
          <w:rFonts w:hint="eastAsia" w:eastAsia="宋体"/>
          <w:lang w:eastAsia="zh-CN"/>
        </w:rPr>
      </w:pPr>
      <w:r>
        <w:rPr>
          <w:rFonts w:hint="eastAsia" w:hAnsi="宋体"/>
          <w:sz w:val="24"/>
          <w:lang w:eastAsia="zh-CN"/>
        </w:rPr>
        <w:t>（</w:t>
      </w:r>
      <w:r>
        <w:rPr>
          <w:rFonts w:hint="eastAsia" w:hAnsi="宋体"/>
          <w:sz w:val="24"/>
          <w:lang w:val="en-US" w:eastAsia="zh-CN"/>
        </w:rPr>
        <w:t>六</w:t>
      </w:r>
      <w:r>
        <w:rPr>
          <w:rFonts w:hint="eastAsia" w:hAnsi="宋体"/>
          <w:sz w:val="24"/>
          <w:lang w:eastAsia="zh-CN"/>
        </w:rPr>
        <w:t>）</w:t>
      </w:r>
      <w:r>
        <w:rPr>
          <w:rFonts w:hint="eastAsia" w:hAnsi="宋体"/>
          <w:sz w:val="24"/>
          <w:lang w:val="en-US" w:eastAsia="zh-CN"/>
        </w:rPr>
        <w:t>供应商</w:t>
      </w:r>
      <w:r>
        <w:rPr>
          <w:rFonts w:hint="eastAsia" w:ascii="宋体" w:hAnsi="宋体"/>
          <w:sz w:val="24"/>
        </w:rPr>
        <w:t>单位须在广元市区有固定经营场所</w:t>
      </w:r>
      <w:r>
        <w:rPr>
          <w:rFonts w:hint="eastAsia" w:hAnsi="宋体"/>
          <w:sz w:val="24"/>
          <w:lang w:eastAsia="zh-CN"/>
        </w:rPr>
        <w:t>；</w:t>
      </w:r>
    </w:p>
    <w:p>
      <w:pPr>
        <w:spacing w:line="360" w:lineRule="auto"/>
        <w:ind w:firstLine="480" w:firstLineChars="200"/>
        <w:rPr>
          <w:rFonts w:hAnsi="宋体"/>
          <w:sz w:val="24"/>
        </w:rPr>
      </w:pPr>
      <w:r>
        <w:rPr>
          <w:rFonts w:hint="eastAsia" w:hAnsi="宋体"/>
          <w:sz w:val="24"/>
        </w:rPr>
        <w:t>（</w:t>
      </w:r>
      <w:r>
        <w:rPr>
          <w:rFonts w:hint="eastAsia" w:hAnsi="宋体"/>
          <w:sz w:val="24"/>
          <w:lang w:val="en-US" w:eastAsia="zh-CN"/>
        </w:rPr>
        <w:t>七</w:t>
      </w:r>
      <w:r>
        <w:rPr>
          <w:rFonts w:hint="eastAsia" w:hAnsi="宋体"/>
          <w:sz w:val="24"/>
        </w:rPr>
        <w:t>）法律、行政法规规定的其他条件。</w:t>
      </w:r>
    </w:p>
    <w:bookmarkEnd w:id="12"/>
    <w:bookmarkEnd w:id="13"/>
    <w:p>
      <w:pPr>
        <w:spacing w:line="360" w:lineRule="auto"/>
        <w:ind w:firstLine="482" w:firstLineChars="200"/>
        <w:rPr>
          <w:rFonts w:hAnsi="宋体"/>
          <w:b/>
          <w:sz w:val="24"/>
        </w:rPr>
      </w:pPr>
      <w:r>
        <w:rPr>
          <w:rFonts w:hint="eastAsia" w:hAnsi="宋体"/>
          <w:b/>
          <w:sz w:val="24"/>
        </w:rPr>
        <w:t>六、采购项目清单及要求</w:t>
      </w:r>
      <w:bookmarkEnd w:id="14"/>
      <w:bookmarkEnd w:id="15"/>
    </w:p>
    <w:p>
      <w:pPr>
        <w:spacing w:line="360" w:lineRule="auto"/>
        <w:ind w:firstLine="480" w:firstLineChars="200"/>
        <w:rPr>
          <w:rFonts w:hAnsi="宋体"/>
          <w:sz w:val="24"/>
        </w:rPr>
      </w:pPr>
      <w:r>
        <w:rPr>
          <w:rFonts w:hint="eastAsia" w:hAnsi="宋体"/>
          <w:sz w:val="24"/>
        </w:rPr>
        <w:t>见第四章。</w:t>
      </w:r>
    </w:p>
    <w:p>
      <w:pPr>
        <w:spacing w:line="360" w:lineRule="auto"/>
        <w:ind w:firstLine="482" w:firstLineChars="200"/>
        <w:rPr>
          <w:rFonts w:hAnsi="宋体" w:cs="宋体"/>
          <w:b/>
          <w:sz w:val="24"/>
        </w:rPr>
      </w:pPr>
      <w:bookmarkStart w:id="16" w:name="_Toc26007"/>
      <w:bookmarkStart w:id="17" w:name="_Toc509559406"/>
      <w:r>
        <w:rPr>
          <w:rFonts w:hint="eastAsia" w:hAnsi="宋体" w:cs="宋体"/>
          <w:b/>
          <w:sz w:val="24"/>
          <w:szCs w:val="28"/>
        </w:rPr>
        <w:t>七、递交</w:t>
      </w:r>
      <w:r>
        <w:rPr>
          <w:rFonts w:hint="eastAsia" w:hAnsi="宋体" w:cs="宋体"/>
          <w:b/>
          <w:sz w:val="24"/>
          <w:szCs w:val="28"/>
          <w:lang w:val="en-US" w:eastAsia="zh-CN"/>
        </w:rPr>
        <w:t>响应</w:t>
      </w:r>
      <w:r>
        <w:rPr>
          <w:rFonts w:hint="eastAsia" w:hAnsi="宋体" w:cs="宋体"/>
          <w:b/>
          <w:sz w:val="24"/>
          <w:szCs w:val="28"/>
        </w:rPr>
        <w:t>文件</w:t>
      </w:r>
      <w:r>
        <w:rPr>
          <w:rFonts w:hint="eastAsia" w:hAnsi="宋体" w:cs="宋体"/>
          <w:b/>
          <w:sz w:val="24"/>
        </w:rPr>
        <w:t>截止时间和地点</w:t>
      </w:r>
    </w:p>
    <w:p>
      <w:pPr>
        <w:spacing w:line="360" w:lineRule="auto"/>
        <w:ind w:firstLine="480" w:firstLineChars="200"/>
        <w:rPr>
          <w:rFonts w:hAnsi="宋体"/>
          <w:sz w:val="24"/>
        </w:rPr>
      </w:pPr>
      <w:r>
        <w:rPr>
          <w:rFonts w:hint="eastAsia" w:hAnsi="宋体" w:cs="宋体"/>
          <w:sz w:val="24"/>
          <w:szCs w:val="28"/>
        </w:rPr>
        <w:t>递交相应文件</w:t>
      </w:r>
      <w:r>
        <w:rPr>
          <w:rFonts w:hint="eastAsia" w:hAnsi="宋体" w:cs="宋体"/>
          <w:sz w:val="24"/>
        </w:rPr>
        <w:t>截止时间</w:t>
      </w:r>
      <w:bookmarkStart w:id="18" w:name="OLE_LINK2"/>
      <w:bookmarkStart w:id="19" w:name="OLE_LINK1"/>
      <w:r>
        <w:rPr>
          <w:rFonts w:hint="eastAsia" w:hAnsi="宋体" w:cs="宋体"/>
          <w:sz w:val="24"/>
        </w:rPr>
        <w:t>：</w:t>
      </w:r>
      <w:r>
        <w:rPr>
          <w:rFonts w:hint="eastAsia" w:hAnsi="宋体"/>
          <w:sz w:val="24"/>
        </w:rPr>
        <w:t>2022年1月1</w:t>
      </w:r>
      <w:r>
        <w:rPr>
          <w:rFonts w:hint="eastAsia" w:hAnsi="宋体"/>
          <w:sz w:val="24"/>
          <w:lang w:val="en-US" w:eastAsia="zh-CN"/>
        </w:rPr>
        <w:t>5</w:t>
      </w:r>
      <w:r>
        <w:rPr>
          <w:rFonts w:hint="eastAsia" w:hAnsi="宋体"/>
          <w:sz w:val="24"/>
        </w:rPr>
        <w:t>日10:00（北京时间）</w:t>
      </w:r>
      <w:bookmarkEnd w:id="18"/>
      <w:bookmarkEnd w:id="19"/>
      <w:r>
        <w:rPr>
          <w:rFonts w:hint="eastAsia" w:hAnsi="宋体"/>
          <w:sz w:val="24"/>
        </w:rPr>
        <w:t>，逾期送达的或没有装订、封装的文件不予接收。</w:t>
      </w:r>
    </w:p>
    <w:p>
      <w:pPr>
        <w:spacing w:line="360" w:lineRule="auto"/>
        <w:ind w:firstLine="480" w:firstLineChars="200"/>
        <w:rPr>
          <w:rFonts w:hAnsi="宋体"/>
          <w:sz w:val="24"/>
        </w:rPr>
      </w:pPr>
      <w:r>
        <w:rPr>
          <w:rFonts w:hint="eastAsia" w:hAnsi="宋体"/>
          <w:sz w:val="24"/>
        </w:rPr>
        <w:t>地点：广元市利州区学府路</w:t>
      </w:r>
      <w:r>
        <w:rPr>
          <w:rFonts w:hint="eastAsia" w:hAnsi="宋体"/>
          <w:sz w:val="24"/>
          <w:lang w:val="en-US" w:eastAsia="zh-CN"/>
        </w:rPr>
        <w:t>265号保卫处办公室</w:t>
      </w:r>
      <w:r>
        <w:rPr>
          <w:rFonts w:hint="eastAsia" w:hAnsi="宋体"/>
          <w:sz w:val="24"/>
        </w:rPr>
        <w:t>（四川信息职业技术学院雪峰校区）。</w:t>
      </w:r>
    </w:p>
    <w:p>
      <w:pPr>
        <w:spacing w:line="360" w:lineRule="auto"/>
        <w:ind w:firstLine="482" w:firstLineChars="200"/>
        <w:rPr>
          <w:rFonts w:hAnsi="宋体" w:cs="宋体"/>
          <w:b/>
          <w:sz w:val="24"/>
        </w:rPr>
      </w:pPr>
      <w:r>
        <w:rPr>
          <w:rFonts w:hint="eastAsia" w:hAnsi="宋体" w:cs="宋体"/>
          <w:b/>
          <w:sz w:val="24"/>
        </w:rPr>
        <w:t>八、询价时间和地点</w:t>
      </w:r>
      <w:bookmarkEnd w:id="16"/>
      <w:bookmarkEnd w:id="17"/>
      <w:bookmarkStart w:id="20" w:name="_Toc23507"/>
      <w:bookmarkStart w:id="21" w:name="_Toc509559407"/>
    </w:p>
    <w:p>
      <w:pPr>
        <w:spacing w:line="360" w:lineRule="auto"/>
        <w:ind w:firstLine="480" w:firstLineChars="200"/>
        <w:rPr>
          <w:rFonts w:hAnsi="宋体"/>
          <w:sz w:val="24"/>
        </w:rPr>
      </w:pPr>
      <w:r>
        <w:rPr>
          <w:rFonts w:hint="eastAsia" w:hAnsi="宋体"/>
          <w:sz w:val="24"/>
        </w:rPr>
        <w:t>询价时间：2022年1月1</w:t>
      </w:r>
      <w:r>
        <w:rPr>
          <w:rFonts w:hint="eastAsia" w:hAnsi="宋体"/>
          <w:sz w:val="24"/>
          <w:lang w:val="en-US" w:eastAsia="zh-CN"/>
        </w:rPr>
        <w:t>5</w:t>
      </w:r>
      <w:r>
        <w:rPr>
          <w:rFonts w:hint="eastAsia" w:hAnsi="宋体"/>
          <w:sz w:val="24"/>
        </w:rPr>
        <w:t>日10:30（北京时间）。</w:t>
      </w:r>
    </w:p>
    <w:p>
      <w:pPr>
        <w:spacing w:line="360" w:lineRule="auto"/>
        <w:ind w:firstLine="480" w:firstLineChars="200"/>
        <w:rPr>
          <w:rFonts w:hAnsi="宋体"/>
          <w:sz w:val="24"/>
        </w:rPr>
      </w:pPr>
      <w:r>
        <w:rPr>
          <w:rFonts w:hint="eastAsia" w:hAnsi="宋体"/>
          <w:sz w:val="24"/>
        </w:rPr>
        <w:t>地点：广元市利州区学府路</w:t>
      </w:r>
      <w:r>
        <w:rPr>
          <w:rFonts w:hint="eastAsia" w:hAnsi="宋体"/>
          <w:sz w:val="24"/>
          <w:lang w:val="en-US" w:eastAsia="zh-CN"/>
        </w:rPr>
        <w:t>265号保卫处办公室</w:t>
      </w:r>
      <w:r>
        <w:rPr>
          <w:rFonts w:hint="eastAsia" w:hAnsi="宋体"/>
          <w:sz w:val="24"/>
        </w:rPr>
        <w:t>（四川信息职业技术学院雪峰校区）。</w:t>
      </w:r>
      <w:bookmarkEnd w:id="20"/>
      <w:bookmarkEnd w:id="21"/>
    </w:p>
    <w:p>
      <w:pPr>
        <w:spacing w:line="360" w:lineRule="auto"/>
        <w:ind w:firstLine="482" w:firstLineChars="200"/>
        <w:rPr>
          <w:rFonts w:hAnsi="宋体" w:cs="宋体"/>
          <w:b/>
          <w:sz w:val="24"/>
        </w:rPr>
      </w:pPr>
      <w:r>
        <w:rPr>
          <w:rFonts w:hint="eastAsia" w:hAnsi="宋体" w:cs="宋体"/>
          <w:b/>
          <w:sz w:val="24"/>
        </w:rPr>
        <w:t>九、商务要求</w:t>
      </w:r>
    </w:p>
    <w:p>
      <w:pPr>
        <w:spacing w:line="360" w:lineRule="auto"/>
        <w:ind w:firstLine="480" w:firstLineChars="200"/>
        <w:rPr>
          <w:rFonts w:hAnsi="宋体"/>
          <w:sz w:val="24"/>
        </w:rPr>
      </w:pPr>
      <w:bookmarkStart w:id="22" w:name="_Toc17080"/>
      <w:bookmarkStart w:id="23" w:name="_Toc509559408"/>
      <w:r>
        <w:rPr>
          <w:rFonts w:hAnsi="宋体"/>
          <w:sz w:val="24"/>
        </w:rPr>
        <w:t>1</w:t>
      </w:r>
      <w:r>
        <w:rPr>
          <w:rFonts w:hint="eastAsia" w:hAnsi="宋体"/>
          <w:sz w:val="24"/>
        </w:rPr>
        <w:t>、交货时间或完工时</w:t>
      </w:r>
      <w:r>
        <w:rPr>
          <w:rFonts w:hint="eastAsia" w:hAnsi="宋体"/>
          <w:color w:val="000000" w:themeColor="text1"/>
          <w:sz w:val="24"/>
          <w14:textFill>
            <w14:solidFill>
              <w14:schemeClr w14:val="tx1"/>
            </w14:solidFill>
          </w14:textFill>
        </w:rPr>
        <w:t>间：签订合同后20日内，</w:t>
      </w:r>
      <w:r>
        <w:rPr>
          <w:rFonts w:hint="eastAsia" w:hAnsi="宋体"/>
          <w:sz w:val="24"/>
        </w:rPr>
        <w:t>完成施工交付；如果中标供应商没有按照合同规定的时间完成交付，采购人有权单方面解除合同，并保留向中标供应商索赔的权利。</w:t>
      </w:r>
    </w:p>
    <w:p>
      <w:pPr>
        <w:spacing w:line="360" w:lineRule="auto"/>
        <w:ind w:firstLine="480" w:firstLineChars="200"/>
        <w:rPr>
          <w:rFonts w:hAnsi="宋体"/>
          <w:sz w:val="24"/>
        </w:rPr>
      </w:pPr>
      <w:r>
        <w:rPr>
          <w:rFonts w:hAnsi="宋体"/>
          <w:sz w:val="24"/>
        </w:rPr>
        <w:t>2</w:t>
      </w:r>
      <w:r>
        <w:rPr>
          <w:rFonts w:hint="eastAsia" w:hAnsi="宋体"/>
          <w:sz w:val="24"/>
        </w:rPr>
        <w:t>、交货地点：四川省广元市利州区学府路</w:t>
      </w:r>
      <w:r>
        <w:rPr>
          <w:rFonts w:hAnsi="宋体"/>
          <w:sz w:val="24"/>
        </w:rPr>
        <w:t>265</w:t>
      </w:r>
      <w:r>
        <w:rPr>
          <w:rFonts w:hint="eastAsia" w:hAnsi="宋体"/>
          <w:sz w:val="24"/>
        </w:rPr>
        <w:t>号（四川信息职业技术学院雪峰校区）；</w:t>
      </w:r>
    </w:p>
    <w:p>
      <w:pPr>
        <w:spacing w:line="360" w:lineRule="auto"/>
        <w:ind w:firstLine="480" w:firstLineChars="200"/>
      </w:pPr>
      <w:r>
        <w:rPr>
          <w:rFonts w:hint="eastAsia" w:hAnsi="宋体"/>
          <w:sz w:val="24"/>
        </w:rPr>
        <w:t>3、交货要求：按照采购清单进行验收</w:t>
      </w:r>
      <w:bookmarkStart w:id="28" w:name="_GoBack"/>
      <w:bookmarkEnd w:id="28"/>
      <w:r>
        <w:rPr>
          <w:rFonts w:hint="eastAsia" w:hAnsi="宋体"/>
          <w:sz w:val="24"/>
        </w:rPr>
        <w:t>和交付。</w:t>
      </w:r>
    </w:p>
    <w:p>
      <w:pPr>
        <w:spacing w:line="360" w:lineRule="auto"/>
        <w:ind w:firstLine="480" w:firstLineChars="200"/>
      </w:pPr>
      <w:r>
        <w:rPr>
          <w:rFonts w:hint="eastAsia" w:hAnsi="宋体"/>
          <w:sz w:val="24"/>
        </w:rPr>
        <w:t>4、发票要求：发票明细应与采购清单一致。</w:t>
      </w:r>
    </w:p>
    <w:p>
      <w:pPr>
        <w:spacing w:line="360" w:lineRule="auto"/>
        <w:ind w:firstLine="480" w:firstLineChars="200"/>
        <w:rPr>
          <w:rFonts w:hAnsi="宋体"/>
          <w:sz w:val="24"/>
        </w:rPr>
      </w:pPr>
      <w:r>
        <w:rPr>
          <w:rFonts w:hint="eastAsia" w:hAnsi="宋体"/>
          <w:sz w:val="24"/>
        </w:rPr>
        <w:t>5、付款方式：验收合格后，采购人接到供应商票据凭证资料在30日内支付合同中标金额。</w:t>
      </w:r>
    </w:p>
    <w:p>
      <w:pPr>
        <w:spacing w:line="360" w:lineRule="auto"/>
        <w:ind w:firstLine="480" w:firstLineChars="200"/>
        <w:rPr>
          <w:rFonts w:hAnsi="宋体"/>
          <w:sz w:val="24"/>
        </w:rPr>
      </w:pPr>
      <w:r>
        <w:rPr>
          <w:rFonts w:hint="eastAsia" w:hAnsi="宋体"/>
          <w:sz w:val="24"/>
        </w:rPr>
        <w:t>6、</w:t>
      </w:r>
      <w:r>
        <w:rPr>
          <w:rFonts w:hAnsi="宋体"/>
          <w:sz w:val="24"/>
        </w:rPr>
        <w:t>售后服务要求</w:t>
      </w:r>
      <w:r>
        <w:rPr>
          <w:rFonts w:hint="eastAsia" w:hAnsi="宋体"/>
          <w:sz w:val="24"/>
        </w:rPr>
        <w:t>：质保期2年；在使用过程中，若出现质量问题，中标供应商在接到通知后48小时内完成更换，并承担所有费用。</w:t>
      </w:r>
    </w:p>
    <w:p>
      <w:pPr>
        <w:pStyle w:val="31"/>
        <w:ind w:firstLine="482"/>
        <w:outlineLvl w:val="2"/>
        <w:rPr>
          <w:rFonts w:hAnsi="宋体"/>
          <w:b/>
          <w:sz w:val="24"/>
        </w:rPr>
      </w:pPr>
      <w:r>
        <w:rPr>
          <w:rFonts w:hint="eastAsia" w:hAnsi="宋体"/>
          <w:b/>
          <w:sz w:val="24"/>
        </w:rPr>
        <w:t>十、疫情防控要求</w:t>
      </w:r>
    </w:p>
    <w:p>
      <w:pPr>
        <w:pStyle w:val="31"/>
        <w:ind w:firstLine="480"/>
        <w:rPr>
          <w:rFonts w:hAnsi="宋体" w:cs="宋体"/>
          <w:sz w:val="24"/>
        </w:rPr>
      </w:pPr>
      <w:r>
        <w:rPr>
          <w:rFonts w:hint="eastAsia" w:hAnsi="宋体" w:cs="宋体"/>
          <w:sz w:val="24"/>
        </w:rPr>
        <w:t>1.投标单位只能派一人到现场递交投标文件并参与签到，签到结束后须立即离开，保持通讯畅通。</w:t>
      </w:r>
    </w:p>
    <w:p>
      <w:pPr>
        <w:pStyle w:val="31"/>
        <w:ind w:firstLine="480"/>
        <w:rPr>
          <w:rFonts w:hAnsi="宋体" w:cs="宋体"/>
          <w:sz w:val="24"/>
        </w:rPr>
      </w:pPr>
      <w:r>
        <w:rPr>
          <w:rFonts w:hint="eastAsia" w:hAnsi="宋体" w:cs="宋体"/>
          <w:sz w:val="24"/>
        </w:rPr>
        <w:t>2.投标人须佩戴口罩，自觉接受入校身份核验、体温检测、报告登记等疫情排查措施，服从防疫管控。对拒不服从管控的，将视为扰乱评审现场，代理机构可以拒绝其参加投标，并向有关部门报告。</w:t>
      </w:r>
    </w:p>
    <w:p>
      <w:pPr>
        <w:pStyle w:val="31"/>
        <w:ind w:firstLine="480"/>
      </w:pPr>
      <w:r>
        <w:rPr>
          <w:rFonts w:hint="eastAsia" w:hAnsi="宋体" w:cs="宋体"/>
          <w:sz w:val="24"/>
        </w:rPr>
        <w:t>3.根据【广元市应对新型冠状病毒肺炎疫情应急指挥部公告（第44号）（第49号）】通知以及【学校新型冠状病毒感染的肺炎防控工作领导小组关于做好当前疫情防控相关工作的通知（2021年11月4日发）】第五条“外来人员非必要不允许进入校门</w:t>
      </w:r>
      <w:r>
        <w:rPr>
          <w:rFonts w:hint="eastAsia" w:hAnsi="宋体" w:cs="宋体"/>
          <w:sz w:val="24"/>
          <w:szCs w:val="24"/>
        </w:rPr>
        <w:t>，如确有必要，须由</w:t>
      </w:r>
      <w:r>
        <w:rPr>
          <w:rFonts w:hint="eastAsia" w:hAnsi="宋体" w:cs="宋体"/>
          <w:sz w:val="24"/>
        </w:rPr>
        <w:t>主要领导</w:t>
      </w:r>
      <w:r>
        <w:rPr>
          <w:rFonts w:hint="eastAsia" w:hAnsi="宋体" w:cs="宋体"/>
          <w:sz w:val="24"/>
          <w:szCs w:val="24"/>
        </w:rPr>
        <w:t>同意后，凭48小时核酸检测</w:t>
      </w:r>
      <w:r>
        <w:rPr>
          <w:rFonts w:hint="eastAsia" w:hAnsi="宋体" w:cs="宋体"/>
          <w:sz w:val="24"/>
        </w:rPr>
        <w:t>阴性</w:t>
      </w:r>
      <w:r>
        <w:rPr>
          <w:rFonts w:hint="eastAsia" w:hAnsi="宋体" w:cs="宋体"/>
          <w:sz w:val="24"/>
          <w:szCs w:val="24"/>
        </w:rPr>
        <w:t>证明</w:t>
      </w:r>
      <w:r>
        <w:rPr>
          <w:rFonts w:hint="eastAsia" w:hAnsi="宋体" w:cs="宋体"/>
          <w:sz w:val="24"/>
        </w:rPr>
        <w:t>以及健康绿码、大数据行程绿卡</w:t>
      </w:r>
      <w:r>
        <w:rPr>
          <w:rFonts w:hint="eastAsia" w:hAnsi="宋体" w:cs="宋体"/>
          <w:sz w:val="24"/>
          <w:szCs w:val="24"/>
        </w:rPr>
        <w:t>，并测温、扫码进入</w:t>
      </w:r>
      <w:r>
        <w:rPr>
          <w:rFonts w:hint="eastAsia" w:hAnsi="宋体" w:cs="宋体"/>
          <w:sz w:val="24"/>
        </w:rPr>
        <w:t>”之规定，参加投标的法人或授权代表须携带递交响应文件截止时间前48小时内的核酸检测报告（阴性）、健康绿码、大数据行程绿卡，提前发于本项目联系人，由本项目联系人请示审批后进校，否则不得入场。</w:t>
      </w:r>
    </w:p>
    <w:p>
      <w:pPr>
        <w:pStyle w:val="31"/>
        <w:ind w:firstLine="482"/>
        <w:outlineLvl w:val="2"/>
        <w:rPr>
          <w:rFonts w:hAnsi="宋体"/>
          <w:b/>
          <w:kern w:val="2"/>
          <w:sz w:val="24"/>
          <w:szCs w:val="24"/>
        </w:rPr>
      </w:pPr>
      <w:r>
        <w:rPr>
          <w:rFonts w:hint="eastAsia" w:hAnsi="宋体"/>
          <w:b/>
          <w:sz w:val="24"/>
        </w:rPr>
        <w:t>十一</w:t>
      </w:r>
      <w:r>
        <w:rPr>
          <w:rFonts w:hint="eastAsia" w:hAnsi="宋体"/>
          <w:b/>
          <w:kern w:val="2"/>
          <w:sz w:val="24"/>
          <w:szCs w:val="24"/>
        </w:rPr>
        <w:t>、联系方式</w:t>
      </w:r>
      <w:bookmarkEnd w:id="22"/>
      <w:bookmarkEnd w:id="23"/>
    </w:p>
    <w:p>
      <w:pPr>
        <w:pStyle w:val="31"/>
        <w:ind w:firstLine="480"/>
        <w:rPr>
          <w:sz w:val="24"/>
        </w:rPr>
      </w:pPr>
      <w:r>
        <w:rPr>
          <w:rFonts w:hint="eastAsia"/>
          <w:sz w:val="24"/>
          <w:lang w:val="zh-CN"/>
        </w:rPr>
        <w:t>采 购 人：</w:t>
      </w:r>
      <w:r>
        <w:rPr>
          <w:rFonts w:hint="eastAsia"/>
          <w:sz w:val="24"/>
        </w:rPr>
        <w:t>四川信息职业技术学院</w:t>
      </w:r>
    </w:p>
    <w:p>
      <w:pPr>
        <w:pStyle w:val="31"/>
        <w:ind w:firstLine="480"/>
        <w:jc w:val="left"/>
        <w:rPr>
          <w:sz w:val="24"/>
        </w:rPr>
      </w:pPr>
      <w:r>
        <w:rPr>
          <w:rFonts w:hint="eastAsia" w:hAnsi="宋体" w:cs="宋体"/>
          <w:sz w:val="24"/>
          <w:lang w:val="zh-CN"/>
        </w:rPr>
        <w:t>地    址：</w:t>
      </w:r>
      <w:r>
        <w:rPr>
          <w:rFonts w:hint="eastAsia" w:hAnsi="宋体" w:cs="宋体"/>
          <w:sz w:val="24"/>
        </w:rPr>
        <w:t>广元市利州区学府路265号</w:t>
      </w:r>
    </w:p>
    <w:p>
      <w:pPr>
        <w:spacing w:line="360" w:lineRule="auto"/>
        <w:ind w:firstLine="480" w:firstLineChars="200"/>
        <w:rPr>
          <w:rFonts w:hAnsi="宋体" w:cs="宋体"/>
          <w:sz w:val="24"/>
          <w:szCs w:val="22"/>
        </w:rPr>
      </w:pPr>
      <w:r>
        <w:rPr>
          <w:rFonts w:hint="eastAsia" w:hAnsi="宋体" w:cs="宋体"/>
          <w:sz w:val="24"/>
          <w:szCs w:val="22"/>
          <w:lang w:val="zh-CN"/>
        </w:rPr>
        <w:t>联 系 人：</w:t>
      </w:r>
      <w:r>
        <w:rPr>
          <w:rFonts w:hint="eastAsia" w:hAnsi="宋体" w:cs="宋体"/>
          <w:sz w:val="24"/>
          <w:szCs w:val="22"/>
        </w:rPr>
        <w:t>雷老师</w:t>
      </w:r>
    </w:p>
    <w:p>
      <w:pPr>
        <w:pStyle w:val="31"/>
        <w:ind w:firstLine="480"/>
        <w:jc w:val="left"/>
        <w:rPr>
          <w:rFonts w:hAnsi="宋体" w:cs="宋体"/>
          <w:sz w:val="24"/>
          <w:szCs w:val="22"/>
        </w:rPr>
      </w:pPr>
      <w:r>
        <w:rPr>
          <w:rFonts w:hint="eastAsia" w:hAnsi="宋体" w:cs="宋体"/>
          <w:sz w:val="24"/>
          <w:szCs w:val="22"/>
          <w:lang w:val="zh-CN"/>
        </w:rPr>
        <w:t>电    话：</w:t>
      </w:r>
      <w:r>
        <w:rPr>
          <w:rFonts w:hint="eastAsia" w:hAnsi="宋体" w:cs="宋体"/>
          <w:sz w:val="24"/>
          <w:szCs w:val="22"/>
        </w:rPr>
        <w:t>13320751313</w:t>
      </w:r>
    </w:p>
    <w:p>
      <w:pPr>
        <w:pStyle w:val="4"/>
        <w:keepNext w:val="0"/>
        <w:keepLines w:val="0"/>
        <w:spacing w:before="260" w:after="260" w:line="360" w:lineRule="auto"/>
        <w:jc w:val="center"/>
        <w:rPr>
          <w:sz w:val="36"/>
        </w:rPr>
      </w:pPr>
      <w:r>
        <w:rPr>
          <w:rFonts w:hint="eastAsia"/>
          <w:sz w:val="36"/>
          <w:szCs w:val="36"/>
        </w:rPr>
        <w:br w:type="page"/>
      </w:r>
    </w:p>
    <w:p>
      <w:pPr>
        <w:pStyle w:val="5"/>
        <w:jc w:val="center"/>
        <w:rPr>
          <w:rFonts w:ascii="宋体" w:hAnsi="宋体" w:eastAsia="宋体" w:cs="宋体"/>
          <w:szCs w:val="36"/>
        </w:rPr>
      </w:pPr>
      <w:bookmarkStart w:id="24" w:name="_Toc28730"/>
      <w:bookmarkStart w:id="25" w:name="_Toc31956"/>
      <w:r>
        <w:rPr>
          <w:rFonts w:hint="eastAsia" w:ascii="宋体" w:hAnsi="宋体" w:eastAsia="宋体" w:cs="宋体"/>
        </w:rPr>
        <w:t>第二章  询价须知</w:t>
      </w:r>
      <w:bookmarkEnd w:id="24"/>
      <w:bookmarkEnd w:id="25"/>
    </w:p>
    <w:p>
      <w:pPr>
        <w:pStyle w:val="5"/>
        <w:keepNext w:val="0"/>
        <w:keepLines w:val="0"/>
        <w:spacing w:line="240" w:lineRule="atLeast"/>
        <w:jc w:val="center"/>
        <w:rPr>
          <w:rFonts w:ascii="宋体" w:hAnsi="宋体" w:eastAsia="宋体" w:cs="宋体"/>
        </w:rPr>
      </w:pPr>
      <w:r>
        <w:rPr>
          <w:rFonts w:hint="eastAsia" w:ascii="宋体" w:hAnsi="宋体" w:eastAsia="宋体" w:cs="宋体"/>
        </w:rPr>
        <w:t>供应商须知附表</w:t>
      </w:r>
    </w:p>
    <w:tbl>
      <w:tblPr>
        <w:tblStyle w:val="17"/>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2412"/>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exact"/>
          <w:tblHeader/>
          <w:jc w:val="center"/>
        </w:trPr>
        <w:tc>
          <w:tcPr>
            <w:tcW w:w="1014" w:type="dxa"/>
            <w:vAlign w:val="center"/>
          </w:tcPr>
          <w:p>
            <w:pPr>
              <w:pStyle w:val="35"/>
              <w:ind w:left="9"/>
              <w:jc w:val="center"/>
              <w:rPr>
                <w:b/>
                <w:lang w:val="zh-CN"/>
              </w:rPr>
            </w:pPr>
            <w:r>
              <w:rPr>
                <w:rFonts w:hint="eastAsia"/>
                <w:b/>
                <w:lang w:val="zh-CN"/>
              </w:rPr>
              <w:t xml:space="preserve">序号 </w:t>
            </w:r>
          </w:p>
        </w:tc>
        <w:tc>
          <w:tcPr>
            <w:tcW w:w="2412" w:type="dxa"/>
            <w:vAlign w:val="center"/>
          </w:tcPr>
          <w:p>
            <w:pPr>
              <w:pStyle w:val="35"/>
              <w:ind w:left="38"/>
              <w:jc w:val="center"/>
              <w:rPr>
                <w:b/>
                <w:lang w:val="zh-CN"/>
              </w:rPr>
            </w:pPr>
            <w:r>
              <w:rPr>
                <w:rFonts w:hint="eastAsia"/>
                <w:b/>
                <w:lang w:val="zh-CN"/>
              </w:rPr>
              <w:t xml:space="preserve">应知事项 </w:t>
            </w:r>
          </w:p>
        </w:tc>
        <w:tc>
          <w:tcPr>
            <w:tcW w:w="6092" w:type="dxa"/>
            <w:vAlign w:val="center"/>
          </w:tcPr>
          <w:p>
            <w:pPr>
              <w:pStyle w:val="35"/>
              <w:jc w:val="center"/>
              <w:rPr>
                <w:b/>
                <w:lang w:val="zh-CN"/>
              </w:rPr>
            </w:pPr>
            <w:r>
              <w:rPr>
                <w:rFonts w:hint="eastAsia"/>
                <w:b/>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exact"/>
          <w:jc w:val="center"/>
        </w:trPr>
        <w:tc>
          <w:tcPr>
            <w:tcW w:w="1014" w:type="dxa"/>
            <w:vAlign w:val="center"/>
          </w:tcPr>
          <w:p>
            <w:pPr>
              <w:pStyle w:val="35"/>
              <w:ind w:right="230"/>
              <w:jc w:val="center"/>
              <w:rPr>
                <w:lang w:val="zh-CN"/>
              </w:rPr>
            </w:pPr>
            <w:r>
              <w:rPr>
                <w:rFonts w:hint="eastAsia"/>
                <w:lang w:val="zh-CN"/>
              </w:rPr>
              <w:t>1</w:t>
            </w:r>
          </w:p>
        </w:tc>
        <w:tc>
          <w:tcPr>
            <w:tcW w:w="2412" w:type="dxa"/>
            <w:vAlign w:val="center"/>
          </w:tcPr>
          <w:p>
            <w:pPr>
              <w:pStyle w:val="35"/>
              <w:ind w:left="38"/>
              <w:jc w:val="center"/>
              <w:rPr>
                <w:lang w:val="zh-CN"/>
              </w:rPr>
            </w:pPr>
            <w:r>
              <w:rPr>
                <w:rFonts w:hint="eastAsia"/>
                <w:lang w:val="zh-CN"/>
              </w:rPr>
              <w:t>确定邀请询价的供应商方式</w:t>
            </w:r>
          </w:p>
        </w:tc>
        <w:tc>
          <w:tcPr>
            <w:tcW w:w="6092" w:type="dxa"/>
            <w:vAlign w:val="center"/>
          </w:tcPr>
          <w:p>
            <w:pPr>
              <w:pStyle w:val="35"/>
              <w:ind w:firstLine="480" w:firstLineChars="200"/>
              <w:jc w:val="both"/>
              <w:rPr>
                <w:lang w:val="zh-CN"/>
              </w:rPr>
            </w:pPr>
            <w:r>
              <w:rPr>
                <w:rFonts w:hint="eastAsia"/>
                <w:lang w:val="zh-CN"/>
              </w:rPr>
              <w:t>本次采购采取在</w:t>
            </w:r>
            <w:r>
              <w:rPr>
                <w:rFonts w:hint="eastAsia"/>
              </w:rPr>
              <w:t>四川信息职业技术学院</w:t>
            </w:r>
            <w:r>
              <w:rPr>
                <w:rFonts w:hint="eastAsia"/>
                <w:lang w:val="zh-CN"/>
              </w:rPr>
              <w:t>发布公告的方式邀请参加询价的供应商。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exact"/>
          <w:jc w:val="center"/>
        </w:trPr>
        <w:tc>
          <w:tcPr>
            <w:tcW w:w="1014" w:type="dxa"/>
            <w:vAlign w:val="center"/>
          </w:tcPr>
          <w:p>
            <w:pPr>
              <w:pStyle w:val="35"/>
              <w:ind w:right="230"/>
              <w:jc w:val="center"/>
              <w:rPr>
                <w:lang w:val="zh-CN"/>
              </w:rPr>
            </w:pPr>
            <w:r>
              <w:rPr>
                <w:rFonts w:hint="eastAsia"/>
                <w:lang w:val="zh-CN"/>
              </w:rPr>
              <w:t>2</w:t>
            </w:r>
          </w:p>
        </w:tc>
        <w:tc>
          <w:tcPr>
            <w:tcW w:w="2412" w:type="dxa"/>
            <w:vAlign w:val="center"/>
          </w:tcPr>
          <w:p>
            <w:pPr>
              <w:pStyle w:val="35"/>
              <w:ind w:left="38"/>
              <w:jc w:val="center"/>
              <w:rPr>
                <w:lang w:val="zh-CN"/>
              </w:rPr>
            </w:pPr>
            <w:r>
              <w:rPr>
                <w:rFonts w:hint="eastAsia"/>
                <w:lang w:val="zh-CN"/>
              </w:rPr>
              <w:t>采购预算</w:t>
            </w:r>
          </w:p>
          <w:p>
            <w:pPr>
              <w:pStyle w:val="35"/>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sz w:val="24"/>
                <w:szCs w:val="24"/>
              </w:rPr>
            </w:pPr>
            <w:r>
              <w:rPr>
                <w:rFonts w:hint="eastAsia" w:hAnsi="宋体" w:cs="宋体"/>
                <w:sz w:val="24"/>
                <w:szCs w:val="24"/>
                <w:lang w:val="zh-CN"/>
              </w:rPr>
              <w:t>采购预算：</w:t>
            </w:r>
            <w:r>
              <w:rPr>
                <w:rFonts w:hint="eastAsia" w:hAnsi="宋体" w:cs="宋体"/>
                <w:sz w:val="24"/>
                <w:szCs w:val="24"/>
                <w:lang w:val="en-US" w:eastAsia="zh-CN"/>
              </w:rPr>
              <w:t>3</w:t>
            </w:r>
            <w:r>
              <w:rPr>
                <w:rFonts w:hint="eastAsia" w:hAnsi="宋体" w:cs="宋体"/>
                <w:sz w:val="24"/>
                <w:szCs w:val="24"/>
              </w:rPr>
              <w:t>5000.00元。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6" w:hRule="exact"/>
          <w:jc w:val="center"/>
        </w:trPr>
        <w:tc>
          <w:tcPr>
            <w:tcW w:w="1014" w:type="dxa"/>
            <w:vAlign w:val="center"/>
          </w:tcPr>
          <w:p>
            <w:pPr>
              <w:pStyle w:val="35"/>
              <w:ind w:right="230"/>
              <w:jc w:val="center"/>
              <w:rPr>
                <w:lang w:val="zh-CN"/>
              </w:rPr>
            </w:pPr>
            <w:r>
              <w:rPr>
                <w:rFonts w:hint="eastAsia"/>
                <w:lang w:val="zh-CN"/>
              </w:rPr>
              <w:t>3</w:t>
            </w:r>
          </w:p>
        </w:tc>
        <w:tc>
          <w:tcPr>
            <w:tcW w:w="2412" w:type="dxa"/>
            <w:vAlign w:val="center"/>
          </w:tcPr>
          <w:p>
            <w:pPr>
              <w:pStyle w:val="35"/>
              <w:ind w:left="38"/>
              <w:jc w:val="center"/>
              <w:rPr>
                <w:lang w:val="zh-CN"/>
              </w:rPr>
            </w:pPr>
            <w:r>
              <w:rPr>
                <w:rFonts w:hint="eastAsia"/>
                <w:lang w:val="zh-CN"/>
              </w:rPr>
              <w:t>最高限价</w:t>
            </w:r>
          </w:p>
          <w:p>
            <w:pPr>
              <w:pStyle w:val="35"/>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sz w:val="24"/>
                <w:szCs w:val="24"/>
              </w:rPr>
            </w:pPr>
            <w:r>
              <w:rPr>
                <w:rFonts w:hint="eastAsia" w:hAnsi="宋体" w:cs="宋体"/>
                <w:sz w:val="24"/>
                <w:szCs w:val="24"/>
                <w:lang w:val="zh-CN"/>
              </w:rPr>
              <w:t>最高限价：</w:t>
            </w:r>
            <w:r>
              <w:rPr>
                <w:rFonts w:hint="eastAsia" w:hAnsi="宋体" w:cs="宋体"/>
                <w:sz w:val="24"/>
                <w:szCs w:val="24"/>
                <w:lang w:val="en-US" w:eastAsia="zh-CN"/>
              </w:rPr>
              <w:t>3</w:t>
            </w:r>
            <w:r>
              <w:rPr>
                <w:rFonts w:hint="eastAsia" w:hAnsi="宋体" w:cs="宋体"/>
                <w:sz w:val="24"/>
                <w:szCs w:val="24"/>
              </w:rPr>
              <w:t>5000.00元。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exact"/>
          <w:jc w:val="center"/>
        </w:trPr>
        <w:tc>
          <w:tcPr>
            <w:tcW w:w="1014" w:type="dxa"/>
            <w:vAlign w:val="center"/>
          </w:tcPr>
          <w:p>
            <w:pPr>
              <w:pStyle w:val="35"/>
              <w:ind w:right="230"/>
              <w:jc w:val="center"/>
              <w:rPr>
                <w:lang w:val="zh-CN"/>
              </w:rPr>
            </w:pPr>
            <w:r>
              <w:rPr>
                <w:rFonts w:hint="eastAsia"/>
                <w:lang w:val="zh-CN"/>
              </w:rPr>
              <w:t>4</w:t>
            </w:r>
          </w:p>
        </w:tc>
        <w:tc>
          <w:tcPr>
            <w:tcW w:w="2412" w:type="dxa"/>
            <w:vAlign w:val="center"/>
          </w:tcPr>
          <w:p>
            <w:pPr>
              <w:pStyle w:val="35"/>
              <w:ind w:left="38"/>
              <w:jc w:val="center"/>
              <w:rPr>
                <w:lang w:val="zh-CN"/>
              </w:rPr>
            </w:pPr>
            <w:r>
              <w:rPr>
                <w:rFonts w:hint="eastAsia"/>
                <w:lang w:val="zh-CN"/>
              </w:rPr>
              <w:t>联合体</w:t>
            </w:r>
          </w:p>
        </w:tc>
        <w:tc>
          <w:tcPr>
            <w:tcW w:w="6092" w:type="dxa"/>
            <w:vAlign w:val="center"/>
          </w:tcPr>
          <w:p>
            <w:pPr>
              <w:pStyle w:val="35"/>
              <w:ind w:firstLine="240" w:firstLineChars="100"/>
              <w:jc w:val="both"/>
              <w:rPr>
                <w:lang w:val="zh-CN"/>
              </w:rPr>
            </w:pPr>
            <w:r>
              <w:rPr>
                <w:rFonts w:hint="eastAsia"/>
                <w:lang w:val="zh-CN"/>
              </w:rPr>
              <w:t>不允许联合体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exact"/>
          <w:jc w:val="center"/>
        </w:trPr>
        <w:tc>
          <w:tcPr>
            <w:tcW w:w="1014" w:type="dxa"/>
            <w:vAlign w:val="center"/>
          </w:tcPr>
          <w:p>
            <w:pPr>
              <w:pStyle w:val="35"/>
              <w:ind w:right="230"/>
              <w:jc w:val="center"/>
            </w:pPr>
            <w:r>
              <w:rPr>
                <w:rFonts w:hint="eastAsia"/>
              </w:rPr>
              <w:t>5</w:t>
            </w:r>
          </w:p>
        </w:tc>
        <w:tc>
          <w:tcPr>
            <w:tcW w:w="2412" w:type="dxa"/>
            <w:vAlign w:val="center"/>
          </w:tcPr>
          <w:p>
            <w:pPr>
              <w:pStyle w:val="35"/>
              <w:ind w:left="38"/>
              <w:jc w:val="center"/>
              <w:rPr>
                <w:lang w:val="zh-CN"/>
              </w:rPr>
            </w:pPr>
            <w:r>
              <w:rPr>
                <w:rFonts w:hint="eastAsia"/>
                <w:lang w:val="zh-CN"/>
              </w:rPr>
              <w:t>评标方法</w:t>
            </w:r>
          </w:p>
        </w:tc>
        <w:tc>
          <w:tcPr>
            <w:tcW w:w="6092" w:type="dxa"/>
            <w:vAlign w:val="center"/>
          </w:tcPr>
          <w:p>
            <w:pPr>
              <w:pStyle w:val="35"/>
              <w:ind w:firstLine="240" w:firstLineChars="100"/>
              <w:jc w:val="both"/>
              <w:rPr>
                <w:lang w:val="zh-CN"/>
              </w:rPr>
            </w:pPr>
            <w:r>
              <w:rPr>
                <w:rFonts w:hint="eastAsia"/>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1" w:hRule="exact"/>
          <w:jc w:val="center"/>
        </w:trPr>
        <w:tc>
          <w:tcPr>
            <w:tcW w:w="1014" w:type="dxa"/>
            <w:vAlign w:val="center"/>
          </w:tcPr>
          <w:p>
            <w:pPr>
              <w:pStyle w:val="35"/>
              <w:ind w:right="230"/>
              <w:jc w:val="center"/>
            </w:pPr>
            <w:r>
              <w:rPr>
                <w:rFonts w:hint="eastAsia"/>
              </w:rPr>
              <w:t>6</w:t>
            </w:r>
          </w:p>
        </w:tc>
        <w:tc>
          <w:tcPr>
            <w:tcW w:w="2412" w:type="dxa"/>
            <w:vAlign w:val="center"/>
          </w:tcPr>
          <w:p>
            <w:pPr>
              <w:pStyle w:val="35"/>
              <w:ind w:left="38"/>
              <w:jc w:val="center"/>
            </w:pPr>
            <w:r>
              <w:rPr>
                <w:rFonts w:hint="eastAsia"/>
                <w:lang w:val="zh-CN"/>
              </w:rPr>
              <w:t>相应文件</w:t>
            </w:r>
            <w:r>
              <w:rPr>
                <w:rFonts w:hint="eastAsia"/>
              </w:rPr>
              <w:t>的要求</w:t>
            </w:r>
          </w:p>
        </w:tc>
        <w:tc>
          <w:tcPr>
            <w:tcW w:w="6092" w:type="dxa"/>
            <w:vAlign w:val="center"/>
          </w:tcPr>
          <w:p>
            <w:pPr>
              <w:pStyle w:val="35"/>
              <w:ind w:firstLine="482" w:firstLineChars="200"/>
              <w:jc w:val="both"/>
              <w:rPr>
                <w:lang w:val="zh-CN"/>
              </w:rPr>
            </w:pPr>
            <w:r>
              <w:rPr>
                <w:rFonts w:hint="eastAsia"/>
                <w:b/>
              </w:rPr>
              <w:t>响</w:t>
            </w:r>
            <w:r>
              <w:rPr>
                <w:rFonts w:hint="eastAsia"/>
                <w:b/>
                <w:lang w:val="zh-CN"/>
              </w:rPr>
              <w:t>应文件一式</w:t>
            </w:r>
            <w:r>
              <w:rPr>
                <w:rFonts w:hint="eastAsia"/>
                <w:b/>
              </w:rPr>
              <w:t>三</w:t>
            </w:r>
            <w:r>
              <w:rPr>
                <w:rFonts w:hint="eastAsia"/>
                <w:b/>
                <w:lang w:val="zh-CN"/>
              </w:rPr>
              <w:t>份（</w:t>
            </w:r>
            <w:r>
              <w:rPr>
                <w:rFonts w:hint="eastAsia"/>
                <w:b/>
              </w:rPr>
              <w:t>正本一份，副本二份</w:t>
            </w:r>
            <w:r>
              <w:rPr>
                <w:rFonts w:hint="eastAsia"/>
                <w:b/>
                <w:lang w:val="zh-CN"/>
              </w:rPr>
              <w:t>）</w:t>
            </w:r>
            <w:r>
              <w:rPr>
                <w:rFonts w:hint="eastAsia"/>
                <w:lang w:val="zh-CN"/>
              </w:rPr>
              <w:t>；相应文件A4纸打印并采用胶装方式装订成册，不得散装或者合页装订，相应文件密封袋的最外层应清楚地标明相应文件、采购项目名称、供应商名称，并加盖供应商鲜章。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014" w:type="dxa"/>
            <w:vAlign w:val="center"/>
          </w:tcPr>
          <w:p>
            <w:pPr>
              <w:pStyle w:val="35"/>
              <w:ind w:right="230"/>
              <w:jc w:val="center"/>
            </w:pPr>
            <w:r>
              <w:rPr>
                <w:rFonts w:hint="eastAsia"/>
              </w:rPr>
              <w:t>7</w:t>
            </w:r>
          </w:p>
        </w:tc>
        <w:tc>
          <w:tcPr>
            <w:tcW w:w="2412" w:type="dxa"/>
            <w:vAlign w:val="center"/>
          </w:tcPr>
          <w:p>
            <w:pPr>
              <w:pStyle w:val="35"/>
              <w:ind w:left="38"/>
              <w:jc w:val="center"/>
            </w:pPr>
            <w:r>
              <w:rPr>
                <w:rFonts w:hint="eastAsia"/>
              </w:rPr>
              <w:t>付款方式</w:t>
            </w:r>
          </w:p>
        </w:tc>
        <w:tc>
          <w:tcPr>
            <w:tcW w:w="6092" w:type="dxa"/>
            <w:vAlign w:val="center"/>
          </w:tcPr>
          <w:p>
            <w:pPr>
              <w:pStyle w:val="35"/>
              <w:ind w:firstLine="240" w:firstLineChars="100"/>
              <w:jc w:val="both"/>
            </w:pPr>
            <w:r>
              <w:rPr>
                <w:rFonts w:hint="eastAsia"/>
              </w:rPr>
              <w:t>验收合格，开票一个月内付款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3" w:hRule="exact"/>
          <w:jc w:val="center"/>
        </w:trPr>
        <w:tc>
          <w:tcPr>
            <w:tcW w:w="1014" w:type="dxa"/>
            <w:vAlign w:val="center"/>
          </w:tcPr>
          <w:p>
            <w:pPr>
              <w:pStyle w:val="35"/>
              <w:ind w:right="230"/>
              <w:jc w:val="center"/>
            </w:pPr>
            <w:r>
              <w:rPr>
                <w:rFonts w:hint="eastAsia"/>
              </w:rPr>
              <w:t>8</w:t>
            </w:r>
          </w:p>
        </w:tc>
        <w:tc>
          <w:tcPr>
            <w:tcW w:w="2412" w:type="dxa"/>
            <w:vAlign w:val="center"/>
          </w:tcPr>
          <w:p>
            <w:pPr>
              <w:pStyle w:val="35"/>
              <w:ind w:left="38"/>
              <w:jc w:val="center"/>
              <w:rPr>
                <w:lang w:val="zh-CN"/>
              </w:rPr>
            </w:pPr>
            <w:r>
              <w:rPr>
                <w:rFonts w:hint="eastAsia"/>
                <w:lang w:val="zh-CN"/>
              </w:rPr>
              <w:t>成交通知书领取</w:t>
            </w:r>
          </w:p>
        </w:tc>
        <w:tc>
          <w:tcPr>
            <w:tcW w:w="6092" w:type="dxa"/>
            <w:vAlign w:val="center"/>
          </w:tcPr>
          <w:p>
            <w:pPr>
              <w:pStyle w:val="35"/>
              <w:ind w:firstLine="480" w:firstLineChars="200"/>
              <w:jc w:val="both"/>
              <w:rPr>
                <w:lang w:val="zh-CN"/>
              </w:rPr>
            </w:pPr>
            <w:r>
              <w:rPr>
                <w:rFonts w:hint="eastAsia"/>
                <w:lang w:val="zh-CN"/>
              </w:rPr>
              <w:t>采购结果公告在四川信息职业技术学院网上发布后，请成交供应商凭单位介绍信、身份证原件及复印件到四川信息职业技术学院领取成交通知书。</w:t>
            </w:r>
          </w:p>
        </w:tc>
      </w:tr>
    </w:tbl>
    <w:p>
      <w:pPr>
        <w:rPr>
          <w:sz w:val="36"/>
        </w:rPr>
      </w:pPr>
      <w:r>
        <w:rPr>
          <w:rFonts w:hint="eastAsia"/>
          <w:sz w:val="36"/>
        </w:rPr>
        <w:br w:type="page"/>
      </w:r>
    </w:p>
    <w:p>
      <w:pPr>
        <w:rPr>
          <w:sz w:val="36"/>
        </w:rPr>
      </w:pPr>
    </w:p>
    <w:p>
      <w:pPr>
        <w:pStyle w:val="4"/>
        <w:keepNext w:val="0"/>
        <w:keepLines w:val="0"/>
        <w:spacing w:before="260" w:after="260" w:line="360" w:lineRule="auto"/>
        <w:jc w:val="center"/>
        <w:rPr>
          <w:sz w:val="36"/>
        </w:rPr>
      </w:pPr>
      <w:r>
        <w:rPr>
          <w:rFonts w:hint="eastAsia"/>
          <w:sz w:val="36"/>
        </w:rPr>
        <w:t>第三章  供应商资格证明材料</w:t>
      </w:r>
      <w:bookmarkEnd w:id="1"/>
    </w:p>
    <w:p>
      <w:pPr>
        <w:spacing w:line="360" w:lineRule="auto"/>
        <w:ind w:firstLine="482" w:firstLineChars="200"/>
        <w:rPr>
          <w:rFonts w:hAnsi="宋体" w:cs="宋体"/>
          <w:b/>
          <w:sz w:val="24"/>
        </w:rPr>
      </w:pPr>
      <w:r>
        <w:rPr>
          <w:rFonts w:hint="eastAsia" w:hAnsi="宋体" w:cs="宋体"/>
          <w:b/>
          <w:sz w:val="24"/>
        </w:rPr>
        <w:t>一、资格要求相关证明材料</w:t>
      </w:r>
    </w:p>
    <w:p>
      <w:pPr>
        <w:spacing w:line="360" w:lineRule="auto"/>
        <w:ind w:firstLine="480" w:firstLineChars="200"/>
        <w:rPr>
          <w:rFonts w:hAnsi="宋体"/>
          <w:sz w:val="24"/>
        </w:rPr>
      </w:pPr>
      <w:r>
        <w:rPr>
          <w:rFonts w:hint="eastAsia" w:hAnsi="宋体"/>
          <w:sz w:val="24"/>
        </w:rPr>
        <w:t>（一）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r>
        <w:rPr>
          <w:rFonts w:hint="eastAsia" w:hAnsi="宋体"/>
          <w:sz w:val="24"/>
          <w:lang w:eastAsia="zh-CN"/>
        </w:rPr>
        <w:t>（</w:t>
      </w:r>
      <w:r>
        <w:rPr>
          <w:rFonts w:hint="eastAsia" w:hAnsi="宋体"/>
          <w:sz w:val="24"/>
          <w:lang w:val="en-US" w:eastAsia="zh-CN"/>
        </w:rPr>
        <w:t>经营许可范围须包含消防设施工程施工</w:t>
      </w:r>
      <w:r>
        <w:rPr>
          <w:rFonts w:hint="eastAsia" w:hAnsi="宋体"/>
          <w:sz w:val="24"/>
          <w:lang w:eastAsia="zh-CN"/>
        </w:rPr>
        <w:t>）</w:t>
      </w:r>
      <w:r>
        <w:rPr>
          <w:rFonts w:hint="eastAsia" w:hAnsi="宋体"/>
          <w:sz w:val="24"/>
        </w:rPr>
        <w:t>；</w:t>
      </w:r>
    </w:p>
    <w:p>
      <w:pPr>
        <w:spacing w:line="360" w:lineRule="auto"/>
        <w:ind w:firstLine="480" w:firstLineChars="200"/>
        <w:rPr>
          <w:rFonts w:hAnsi="宋体"/>
          <w:sz w:val="24"/>
        </w:rPr>
      </w:pPr>
      <w:r>
        <w:rPr>
          <w:rFonts w:hint="eastAsia" w:hAnsi="宋体"/>
          <w:sz w:val="24"/>
        </w:rPr>
        <w:t>（二）具备良好商业信誉的证明材料（可提供承诺函）；</w:t>
      </w:r>
    </w:p>
    <w:p>
      <w:pPr>
        <w:spacing w:line="360" w:lineRule="auto"/>
        <w:ind w:firstLine="480" w:firstLineChars="200"/>
        <w:rPr>
          <w:rFonts w:hAnsi="宋体"/>
          <w:sz w:val="24"/>
        </w:rPr>
      </w:pPr>
      <w:r>
        <w:rPr>
          <w:rFonts w:hint="eastAsia" w:hAnsi="宋体"/>
          <w:sz w:val="24"/>
        </w:rPr>
        <w:t>（三）具备健全的财务会计制度的证明材料（可提供承诺函）；</w:t>
      </w:r>
    </w:p>
    <w:p>
      <w:pPr>
        <w:spacing w:line="360" w:lineRule="auto"/>
        <w:ind w:firstLine="480" w:firstLineChars="200"/>
        <w:rPr>
          <w:rFonts w:hAnsi="宋体"/>
          <w:sz w:val="24"/>
        </w:rPr>
      </w:pPr>
      <w:r>
        <w:rPr>
          <w:rFonts w:hint="eastAsia" w:hAnsi="宋体"/>
          <w:sz w:val="24"/>
        </w:rPr>
        <w:t>（四）具有依法缴纳税收和社会保障资金的良好记录（可提供承诺函）；</w:t>
      </w:r>
    </w:p>
    <w:p>
      <w:pPr>
        <w:spacing w:line="360" w:lineRule="auto"/>
        <w:ind w:firstLine="480" w:firstLineChars="200"/>
        <w:rPr>
          <w:rFonts w:hint="eastAsia" w:hAnsi="宋体"/>
          <w:sz w:val="24"/>
        </w:rPr>
      </w:pPr>
      <w:r>
        <w:rPr>
          <w:rFonts w:hint="eastAsia" w:hAnsi="宋体"/>
          <w:sz w:val="24"/>
        </w:rPr>
        <w:t>（五）具备履行合同所必需的设备和专业技术能力的证明材料（可提供承诺函）；</w:t>
      </w:r>
    </w:p>
    <w:p>
      <w:pPr>
        <w:spacing w:line="360" w:lineRule="auto"/>
        <w:ind w:firstLine="480" w:firstLineChars="200"/>
      </w:pPr>
      <w:r>
        <w:rPr>
          <w:rFonts w:hint="eastAsia" w:hAnsi="宋体"/>
          <w:sz w:val="24"/>
          <w:lang w:eastAsia="zh-CN"/>
        </w:rPr>
        <w:t>（</w:t>
      </w:r>
      <w:r>
        <w:rPr>
          <w:rFonts w:hint="eastAsia" w:hAnsi="宋体"/>
          <w:sz w:val="24"/>
          <w:lang w:val="en-US" w:eastAsia="zh-CN"/>
        </w:rPr>
        <w:t>六</w:t>
      </w:r>
      <w:r>
        <w:rPr>
          <w:rFonts w:hint="eastAsia" w:hAnsi="宋体"/>
          <w:sz w:val="24"/>
          <w:lang w:eastAsia="zh-CN"/>
        </w:rPr>
        <w:t>）</w:t>
      </w:r>
      <w:r>
        <w:rPr>
          <w:rFonts w:hint="eastAsia" w:hAnsi="宋体"/>
          <w:sz w:val="24"/>
          <w:lang w:val="en-US" w:eastAsia="zh-CN"/>
        </w:rPr>
        <w:t>供应商</w:t>
      </w:r>
      <w:r>
        <w:rPr>
          <w:rFonts w:hint="eastAsia" w:ascii="宋体" w:hAnsi="宋体"/>
          <w:sz w:val="24"/>
        </w:rPr>
        <w:t>单位须在广元市区有固定经营场所</w:t>
      </w:r>
      <w:r>
        <w:rPr>
          <w:rFonts w:hint="eastAsia" w:hAnsi="宋体"/>
          <w:sz w:val="24"/>
        </w:rPr>
        <w:t>（可提供承诺函）</w:t>
      </w:r>
      <w:r>
        <w:rPr>
          <w:rFonts w:hint="eastAsia" w:hAnsi="宋体"/>
          <w:sz w:val="24"/>
          <w:lang w:eastAsia="zh-CN"/>
        </w:rPr>
        <w:t>；</w:t>
      </w:r>
    </w:p>
    <w:p>
      <w:pPr>
        <w:spacing w:line="360" w:lineRule="auto"/>
        <w:ind w:firstLine="480" w:firstLineChars="200"/>
        <w:rPr>
          <w:rFonts w:hint="eastAsia" w:hAnsi="宋体" w:eastAsia="宋体"/>
          <w:sz w:val="24"/>
          <w:lang w:eastAsia="zh-CN"/>
        </w:rPr>
      </w:pPr>
      <w:r>
        <w:rPr>
          <w:rFonts w:hint="eastAsia" w:hAnsi="宋体"/>
          <w:sz w:val="24"/>
        </w:rPr>
        <w:t>（</w:t>
      </w:r>
      <w:r>
        <w:rPr>
          <w:rFonts w:hint="eastAsia" w:hAnsi="宋体"/>
          <w:sz w:val="24"/>
          <w:lang w:val="en-US" w:eastAsia="zh-CN"/>
        </w:rPr>
        <w:t>七</w:t>
      </w:r>
      <w:r>
        <w:rPr>
          <w:rFonts w:hint="eastAsia" w:hAnsi="宋体"/>
          <w:sz w:val="24"/>
        </w:rPr>
        <w:t>）参加政府采购活动前</w:t>
      </w:r>
      <w:r>
        <w:rPr>
          <w:rFonts w:hAnsi="宋体"/>
          <w:sz w:val="24"/>
        </w:rPr>
        <w:t>3</w:t>
      </w:r>
      <w:r>
        <w:rPr>
          <w:rFonts w:hint="eastAsia" w:hAnsi="宋体"/>
          <w:sz w:val="24"/>
        </w:rPr>
        <w:t>年内在经营活动中没有重大违法记录的承诺函</w:t>
      </w:r>
      <w:r>
        <w:rPr>
          <w:rFonts w:hint="eastAsia" w:hAnsi="宋体"/>
          <w:sz w:val="24"/>
          <w:lang w:eastAsia="zh-CN"/>
        </w:rPr>
        <w:t>。</w:t>
      </w:r>
    </w:p>
    <w:p>
      <w:pPr>
        <w:pStyle w:val="10"/>
        <w:spacing w:line="360" w:lineRule="auto"/>
        <w:ind w:firstLine="482" w:firstLineChars="200"/>
      </w:pPr>
      <w:r>
        <w:rPr>
          <w:rFonts w:hint="eastAsia"/>
          <w:b/>
          <w:bCs/>
          <w:sz w:val="24"/>
          <w:szCs w:val="24"/>
        </w:rPr>
        <w:t>备注：上述材料提供加盖供应商鲜章的复印件。</w:t>
      </w:r>
    </w:p>
    <w:p>
      <w:pPr>
        <w:rPr>
          <w:rFonts w:hAnsi="宋体" w:cs="宋体"/>
        </w:rPr>
      </w:pPr>
      <w:bookmarkStart w:id="26" w:name="_Toc31390"/>
      <w:r>
        <w:rPr>
          <w:rFonts w:hint="eastAsia" w:hAnsi="宋体" w:cs="宋体"/>
        </w:rPr>
        <w:br w:type="page"/>
      </w:r>
    </w:p>
    <w:bookmarkEnd w:id="26"/>
    <w:p>
      <w:pPr>
        <w:pStyle w:val="4"/>
        <w:keepNext w:val="0"/>
        <w:keepLines w:val="0"/>
        <w:spacing w:before="260" w:after="260" w:line="360" w:lineRule="auto"/>
        <w:jc w:val="center"/>
        <w:rPr>
          <w:sz w:val="36"/>
        </w:rPr>
      </w:pPr>
      <w:r>
        <w:rPr>
          <w:rFonts w:hint="eastAsia"/>
          <w:sz w:val="36"/>
          <w:lang w:eastAsia="zh-CN"/>
        </w:rPr>
        <w:t>四、</w:t>
      </w:r>
      <w:r>
        <w:rPr>
          <w:rFonts w:hint="eastAsia"/>
          <w:sz w:val="36"/>
        </w:rPr>
        <w:t>采购项目服务内容及要求</w:t>
      </w:r>
    </w:p>
    <w:p>
      <w:pPr>
        <w:spacing w:line="360" w:lineRule="auto"/>
        <w:rPr>
          <w:rFonts w:hint="eastAsia" w:hAnsi="宋体" w:cs="宋体"/>
          <w:b/>
          <w:sz w:val="24"/>
        </w:rPr>
      </w:pPr>
      <w:r>
        <w:rPr>
          <w:rFonts w:hint="eastAsia" w:hAnsi="宋体" w:cs="宋体"/>
          <w:b/>
          <w:sz w:val="24"/>
          <w:lang w:eastAsia="zh-CN"/>
        </w:rPr>
        <w:t>一、</w:t>
      </w:r>
      <w:r>
        <w:rPr>
          <w:rFonts w:hint="eastAsia" w:hAnsi="宋体" w:cs="宋体"/>
          <w:b/>
          <w:sz w:val="24"/>
        </w:rPr>
        <w:t>项目概况</w:t>
      </w:r>
    </w:p>
    <w:p>
      <w:pPr>
        <w:spacing w:line="360" w:lineRule="auto"/>
        <w:ind w:firstLine="480" w:firstLineChars="200"/>
        <w:rPr>
          <w:rFonts w:hint="eastAsia"/>
          <w:lang w:val="en-US" w:eastAsia="zh-CN"/>
        </w:rPr>
      </w:pPr>
      <w:r>
        <w:rPr>
          <w:rFonts w:hint="eastAsia" w:hAnsi="宋体" w:cs="宋体"/>
          <w:b w:val="0"/>
          <w:bCs/>
          <w:sz w:val="24"/>
          <w:lang w:eastAsia="zh-CN"/>
        </w:rPr>
        <w:t>室外消火栓及水泵接合器更换、综合楼室内消火栓蝶阀更换、消防管网部分闸阀更换，室外消火栓检修井施工及老院消火栓改造、消火栓箱体（更换）（含开挖、垫层施工、闸阀安装、砌筑、回填等）。</w:t>
      </w:r>
    </w:p>
    <w:p>
      <w:pPr>
        <w:spacing w:line="360" w:lineRule="auto"/>
        <w:ind w:firstLine="480" w:firstLineChars="200"/>
        <w:rPr>
          <w:rFonts w:hint="eastAsia" w:hAnsi="宋体"/>
          <w:sz w:val="24"/>
          <w:lang w:val="en-US" w:eastAsia="zh-CN"/>
        </w:rPr>
      </w:pPr>
      <w:r>
        <w:rPr>
          <w:rFonts w:hint="eastAsia" w:hAnsi="宋体"/>
          <w:sz w:val="24"/>
          <w:lang w:val="en-US" w:eastAsia="zh-CN"/>
        </w:rPr>
        <w:t>具体施工数量：更换17具室外消火栓、14具水泵接合器、8个消声止回阀、31个软密封闸阀、16个对夹蝶阀、1个消火栓箱体，新砌消火栓检修井14座，恢复原砌砖井3处。</w:t>
      </w:r>
    </w:p>
    <w:p>
      <w:pPr>
        <w:pStyle w:val="2"/>
        <w:rPr>
          <w:rFonts w:hint="eastAsia"/>
          <w:lang w:eastAsia="zh-CN"/>
        </w:rPr>
      </w:pPr>
    </w:p>
    <w:p>
      <w:pPr>
        <w:spacing w:line="360" w:lineRule="auto"/>
        <w:rPr>
          <w:rFonts w:hint="eastAsia" w:hAnsi="宋体" w:cs="宋体"/>
          <w:b/>
          <w:sz w:val="24"/>
          <w:lang w:eastAsia="zh-CN"/>
        </w:rPr>
      </w:pPr>
      <w:r>
        <w:rPr>
          <w:rFonts w:hint="eastAsia" w:hAnsi="宋体" w:cs="宋体"/>
          <w:b/>
          <w:sz w:val="24"/>
          <w:lang w:val="en-US" w:eastAsia="zh-CN"/>
        </w:rPr>
        <w:t>二</w:t>
      </w:r>
      <w:r>
        <w:rPr>
          <w:rFonts w:hint="eastAsia" w:hAnsi="宋体" w:cs="宋体"/>
          <w:b/>
          <w:sz w:val="24"/>
          <w:lang w:eastAsia="zh-CN"/>
        </w:rPr>
        <w:t>、</w:t>
      </w:r>
      <w:r>
        <w:rPr>
          <w:rFonts w:hint="eastAsia" w:hAnsi="宋体" w:cs="宋体"/>
          <w:b/>
          <w:sz w:val="24"/>
          <w:lang w:val="en-US" w:eastAsia="zh-CN"/>
        </w:rPr>
        <w:t>技术</w:t>
      </w:r>
      <w:r>
        <w:rPr>
          <w:rFonts w:hint="eastAsia" w:hAnsi="宋体" w:cs="宋体"/>
          <w:b/>
          <w:sz w:val="24"/>
          <w:lang w:eastAsia="zh-CN"/>
        </w:rPr>
        <w:t>要求</w:t>
      </w:r>
    </w:p>
    <w:p>
      <w:pPr>
        <w:spacing w:line="360" w:lineRule="auto"/>
        <w:ind w:firstLine="480" w:firstLineChars="200"/>
        <w:rPr>
          <w:rFonts w:hint="eastAsia" w:hAnsi="宋体" w:cs="宋体"/>
          <w:b w:val="0"/>
          <w:bCs/>
          <w:sz w:val="24"/>
          <w:lang w:eastAsia="zh-CN"/>
        </w:rPr>
      </w:pPr>
      <w:r>
        <w:rPr>
          <w:rFonts w:hint="eastAsia" w:hAnsi="宋体" w:cs="宋体"/>
          <w:b w:val="0"/>
          <w:bCs/>
          <w:sz w:val="24"/>
          <w:lang w:eastAsia="zh-CN"/>
        </w:rPr>
        <w:t>1、根据《</w:t>
      </w:r>
      <w:r>
        <w:rPr>
          <w:rFonts w:hint="eastAsia" w:hAnsi="宋体" w:cs="宋体"/>
          <w:b w:val="0"/>
          <w:bCs/>
          <w:sz w:val="24"/>
          <w:lang w:eastAsia="zh-CN"/>
        </w:rPr>
        <w:fldChar w:fldCharType="begin"/>
      </w:r>
      <w:r>
        <w:rPr>
          <w:rFonts w:hint="eastAsia" w:hAnsi="宋体" w:cs="宋体"/>
          <w:b w:val="0"/>
          <w:bCs/>
          <w:sz w:val="24"/>
          <w:lang w:eastAsia="zh-CN"/>
        </w:rPr>
        <w:instrText xml:space="preserve"> HYPERLINK "https://gf.1190119.com/list-98.htm" </w:instrText>
      </w:r>
      <w:r>
        <w:rPr>
          <w:rFonts w:hint="eastAsia" w:hAnsi="宋体" w:cs="宋体"/>
          <w:b w:val="0"/>
          <w:bCs/>
          <w:sz w:val="24"/>
          <w:lang w:eastAsia="zh-CN"/>
        </w:rPr>
        <w:fldChar w:fldCharType="separate"/>
      </w:r>
      <w:r>
        <w:rPr>
          <w:rFonts w:hint="eastAsia" w:hAnsi="宋体" w:cs="宋体"/>
          <w:b w:val="0"/>
          <w:bCs/>
          <w:sz w:val="24"/>
          <w:lang w:eastAsia="zh-CN"/>
        </w:rPr>
        <w:t xml:space="preserve">消防给水及消火栓系统技术规范 </w:t>
      </w:r>
      <w:r>
        <w:rPr>
          <w:rFonts w:hint="eastAsia" w:hAnsi="宋体" w:cs="宋体"/>
          <w:b w:val="0"/>
          <w:bCs/>
          <w:sz w:val="24"/>
          <w:lang w:eastAsia="zh-CN"/>
        </w:rPr>
        <w:fldChar w:fldCharType="end"/>
      </w:r>
      <w:r>
        <w:rPr>
          <w:rFonts w:hint="eastAsia" w:hAnsi="宋体" w:cs="宋体"/>
          <w:b w:val="0"/>
          <w:bCs/>
          <w:sz w:val="24"/>
          <w:lang w:eastAsia="zh-CN"/>
        </w:rPr>
        <w:t>》GB50974-2014第12.1.1条规定：消防给水及消火栓系统的施工必须由具有相应等级资质的施工队伍承担。</w:t>
      </w:r>
    </w:p>
    <w:p>
      <w:pPr>
        <w:numPr>
          <w:numId w:val="0"/>
        </w:numPr>
        <w:spacing w:line="360" w:lineRule="auto"/>
        <w:ind w:firstLine="480" w:firstLineChars="200"/>
        <w:rPr>
          <w:rFonts w:hint="eastAsia"/>
          <w:lang w:eastAsia="zh-CN"/>
        </w:rPr>
      </w:pPr>
      <w:r>
        <w:rPr>
          <w:rFonts w:hint="eastAsia" w:hAnsi="宋体" w:cs="宋体"/>
          <w:b w:val="0"/>
          <w:bCs/>
          <w:sz w:val="24"/>
          <w:lang w:val="en-US" w:eastAsia="zh-CN"/>
        </w:rPr>
        <w:t>2、</w:t>
      </w:r>
      <w:r>
        <w:rPr>
          <w:rFonts w:hint="eastAsia" w:hAnsi="宋体" w:cs="宋体"/>
          <w:b w:val="0"/>
          <w:bCs/>
          <w:sz w:val="24"/>
          <w:lang w:eastAsia="zh-CN"/>
        </w:rPr>
        <w:t>施工要求：</w:t>
      </w:r>
    </w:p>
    <w:p>
      <w:pPr>
        <w:pStyle w:val="2"/>
        <w:spacing w:line="360" w:lineRule="auto"/>
        <w:ind w:firstLine="480" w:firstLineChars="200"/>
        <w:rPr>
          <w:rFonts w:ascii="宋体" w:hAnsi="宋体"/>
          <w:kern w:val="0"/>
          <w:sz w:val="24"/>
          <w:szCs w:val="20"/>
        </w:rPr>
      </w:pPr>
      <w:r>
        <w:rPr>
          <w:rFonts w:hint="eastAsia" w:hAnsi="宋体"/>
          <w:sz w:val="24"/>
        </w:rPr>
        <w:t>施工过程中严格按照《</w:t>
      </w:r>
      <w:r>
        <w:fldChar w:fldCharType="begin"/>
      </w:r>
      <w:r>
        <w:instrText xml:space="preserve"> HYPERLINK "https://gf.1190119.com/list-98.htm" </w:instrText>
      </w:r>
      <w:r>
        <w:fldChar w:fldCharType="separate"/>
      </w:r>
      <w:r>
        <w:rPr>
          <w:rFonts w:hint="eastAsia" w:hAnsi="宋体"/>
          <w:sz w:val="24"/>
        </w:rPr>
        <w:t xml:space="preserve">消防给水及消火栓系统技术规范 </w:t>
      </w:r>
      <w:r>
        <w:rPr>
          <w:rFonts w:hint="eastAsia" w:hAnsi="宋体"/>
          <w:sz w:val="24"/>
        </w:rPr>
        <w:fldChar w:fldCharType="end"/>
      </w:r>
      <w:r>
        <w:rPr>
          <w:rFonts w:hint="eastAsia" w:hAnsi="宋体"/>
          <w:sz w:val="24"/>
        </w:rPr>
        <w:t>》GB50974-2014的相关要求和</w:t>
      </w:r>
      <w:r>
        <w:rPr>
          <w:rFonts w:hint="eastAsia" w:ascii="宋体" w:hAnsi="宋体"/>
          <w:kern w:val="0"/>
          <w:sz w:val="24"/>
          <w:szCs w:val="20"/>
        </w:rPr>
        <w:t>《砌体结构工程施工质量验收规范》GB50203-2011，《室外埋地聚乙烯（PE）给水管工程技术规程》DBJ52/T039-2017的相关</w:t>
      </w:r>
      <w:r>
        <w:rPr>
          <w:rFonts w:hint="eastAsia" w:hAnsi="宋体"/>
          <w:sz w:val="24"/>
        </w:rPr>
        <w:t>施工技术标准进行施工。</w:t>
      </w:r>
    </w:p>
    <w:p>
      <w:pPr>
        <w:spacing w:line="360" w:lineRule="auto"/>
        <w:ind w:firstLine="480" w:firstLineChars="200"/>
        <w:rPr>
          <w:rFonts w:hAnsi="宋体"/>
          <w:sz w:val="24"/>
        </w:rPr>
      </w:pPr>
      <w:r>
        <w:rPr>
          <w:rFonts w:hint="eastAsia" w:hAnsi="宋体"/>
          <w:sz w:val="24"/>
          <w:lang w:val="en-US" w:eastAsia="zh-CN"/>
        </w:rPr>
        <w:t>（一）、</w:t>
      </w:r>
      <w:r>
        <w:rPr>
          <w:rFonts w:hint="eastAsia" w:hAnsi="宋体"/>
          <w:sz w:val="24"/>
        </w:rPr>
        <w:t>根据《</w:t>
      </w:r>
      <w:r>
        <w:fldChar w:fldCharType="begin"/>
      </w:r>
      <w:r>
        <w:instrText xml:space="preserve"> HYPERLINK "https://gf.1190119.com/list-98.htm" </w:instrText>
      </w:r>
      <w:r>
        <w:fldChar w:fldCharType="separate"/>
      </w:r>
      <w:r>
        <w:rPr>
          <w:rFonts w:hint="eastAsia" w:hAnsi="宋体"/>
          <w:sz w:val="24"/>
        </w:rPr>
        <w:t xml:space="preserve">消防给水及消火栓系统技术规范 </w:t>
      </w:r>
      <w:r>
        <w:rPr>
          <w:rFonts w:hint="eastAsia" w:hAnsi="宋体"/>
          <w:sz w:val="24"/>
        </w:rPr>
        <w:fldChar w:fldCharType="end"/>
      </w:r>
      <w:r>
        <w:rPr>
          <w:rFonts w:hint="eastAsia" w:hAnsi="宋体"/>
          <w:sz w:val="24"/>
        </w:rPr>
        <w:t>》GB50974-2014第12.3.7条：市政和室外消火栓的安装应符合下列规定：</w:t>
      </w:r>
      <w:r>
        <w:rPr>
          <w:rFonts w:hint="eastAsia" w:hAnsi="宋体"/>
          <w:sz w:val="24"/>
        </w:rPr>
        <w:br w:type="textWrapping"/>
      </w:r>
      <w:r>
        <w:rPr>
          <w:rFonts w:hint="eastAsia" w:hAnsi="宋体"/>
          <w:sz w:val="24"/>
          <w:lang w:val="en-US" w:eastAsia="zh-CN"/>
        </w:rPr>
        <w:t xml:space="preserve">    （1）</w:t>
      </w:r>
      <w:r>
        <w:rPr>
          <w:rFonts w:hint="eastAsia" w:hAnsi="宋体"/>
          <w:sz w:val="24"/>
        </w:rPr>
        <w:t>市政和室外消火栓的选型、规格应符合设计要求；</w:t>
      </w:r>
      <w:r>
        <w:rPr>
          <w:rFonts w:hint="eastAsia" w:hAnsi="宋体"/>
          <w:sz w:val="24"/>
        </w:rPr>
        <w:br w:type="textWrapping"/>
      </w:r>
      <w:r>
        <w:rPr>
          <w:rFonts w:hint="eastAsia" w:hAnsi="宋体"/>
          <w:sz w:val="24"/>
          <w:lang w:val="en-US" w:eastAsia="zh-CN"/>
        </w:rPr>
        <w:t xml:space="preserve">    （2）</w:t>
      </w:r>
      <w:r>
        <w:rPr>
          <w:rFonts w:hint="eastAsia" w:hAnsi="宋体"/>
          <w:sz w:val="24"/>
        </w:rPr>
        <w:t>管道和阀门的施工和安装，应符合现行国家标准《给水排水管道工程施工及验收规范》GB 50268、《建筑给水排水及采暖工程施工质量验收规范》GB 50242的有关规定；</w:t>
      </w:r>
      <w:r>
        <w:rPr>
          <w:rFonts w:hint="eastAsia" w:hAnsi="宋体"/>
          <w:sz w:val="24"/>
        </w:rPr>
        <w:br w:type="textWrapping"/>
      </w:r>
      <w:r>
        <w:rPr>
          <w:rFonts w:hint="eastAsia" w:hAnsi="宋体"/>
          <w:sz w:val="24"/>
          <w:lang w:val="en-US" w:eastAsia="zh-CN"/>
        </w:rPr>
        <w:t xml:space="preserve">    （3）</w:t>
      </w:r>
      <w:r>
        <w:rPr>
          <w:rFonts w:hint="eastAsia" w:hAnsi="宋体"/>
          <w:sz w:val="24"/>
        </w:rPr>
        <w:t>地下式消火栓顶部进水口或顶部出水口应正对井口。顶部进水口或顶部出水口与消防井盖底面的距离不应大于0.4m，井内应有足够的操作空间，并应做好防水措施；</w:t>
      </w:r>
      <w:r>
        <w:rPr>
          <w:rFonts w:hint="eastAsia" w:hAnsi="宋体"/>
          <w:sz w:val="24"/>
        </w:rPr>
        <w:br w:type="textWrapping"/>
      </w:r>
      <w:r>
        <w:rPr>
          <w:rFonts w:hint="eastAsia" w:hAnsi="宋体"/>
          <w:sz w:val="24"/>
          <w:lang w:val="en-US" w:eastAsia="zh-CN"/>
        </w:rPr>
        <w:t xml:space="preserve">    （4）</w:t>
      </w:r>
      <w:r>
        <w:rPr>
          <w:rFonts w:hint="eastAsia" w:hAnsi="宋体"/>
          <w:sz w:val="24"/>
        </w:rPr>
        <w:t>地下式室外消火栓应设置永久性固定标志；</w:t>
      </w:r>
      <w:r>
        <w:rPr>
          <w:rFonts w:hint="eastAsia" w:hAnsi="宋体"/>
          <w:sz w:val="24"/>
        </w:rPr>
        <w:br w:type="textWrapping"/>
      </w:r>
      <w:r>
        <w:rPr>
          <w:rFonts w:hint="eastAsia" w:hAnsi="宋体"/>
          <w:sz w:val="24"/>
          <w:lang w:val="en-US" w:eastAsia="zh-CN"/>
        </w:rPr>
        <w:t xml:space="preserve">    （5）</w:t>
      </w:r>
      <w:r>
        <w:rPr>
          <w:rFonts w:hint="eastAsia" w:hAnsi="宋体"/>
          <w:sz w:val="24"/>
        </w:rPr>
        <w:t>当室外消火栓安装部位火灾时存在可能落物危险时，上方应采取防坠落物撞击的措施；</w:t>
      </w:r>
      <w:r>
        <w:rPr>
          <w:rFonts w:hint="eastAsia" w:hAnsi="宋体"/>
          <w:sz w:val="24"/>
        </w:rPr>
        <w:br w:type="textWrapping"/>
      </w:r>
      <w:r>
        <w:rPr>
          <w:rFonts w:hint="eastAsia" w:hAnsi="宋体"/>
          <w:sz w:val="24"/>
          <w:lang w:val="en-US" w:eastAsia="zh-CN"/>
        </w:rPr>
        <w:t xml:space="preserve">    （6）</w:t>
      </w:r>
      <w:r>
        <w:rPr>
          <w:rFonts w:hint="eastAsia" w:hAnsi="宋体"/>
          <w:sz w:val="24"/>
        </w:rPr>
        <w:t>市政和室外消火栓安装位置应符合设计要求，且不应妨碍交通，在易碰撞的地点应设置防撞设施。</w:t>
      </w:r>
    </w:p>
    <w:p>
      <w:pPr>
        <w:spacing w:line="360" w:lineRule="auto"/>
        <w:ind w:firstLine="480" w:firstLineChars="200"/>
        <w:rPr>
          <w:rFonts w:hAnsi="宋体"/>
          <w:sz w:val="24"/>
        </w:rPr>
      </w:pPr>
      <w:r>
        <w:rPr>
          <w:rFonts w:hint="eastAsia" w:hAnsi="宋体"/>
          <w:sz w:val="24"/>
          <w:lang w:eastAsia="zh-CN"/>
        </w:rPr>
        <w:t>（二）、</w:t>
      </w:r>
      <w:r>
        <w:rPr>
          <w:rFonts w:hint="eastAsia" w:hAnsi="宋体"/>
          <w:sz w:val="24"/>
        </w:rPr>
        <w:t>根据《</w:t>
      </w:r>
      <w:r>
        <w:fldChar w:fldCharType="begin"/>
      </w:r>
      <w:r>
        <w:instrText xml:space="preserve"> HYPERLINK "https://gf.1190119.com/list-98.htm" </w:instrText>
      </w:r>
      <w:r>
        <w:fldChar w:fldCharType="separate"/>
      </w:r>
      <w:r>
        <w:rPr>
          <w:rFonts w:hint="eastAsia" w:hAnsi="宋体"/>
          <w:sz w:val="24"/>
        </w:rPr>
        <w:t xml:space="preserve">消防给水及消火栓系统技术规范 </w:t>
      </w:r>
      <w:r>
        <w:rPr>
          <w:rFonts w:hint="eastAsia" w:hAnsi="宋体"/>
          <w:sz w:val="24"/>
        </w:rPr>
        <w:fldChar w:fldCharType="end"/>
      </w:r>
      <w:r>
        <w:rPr>
          <w:rFonts w:hint="eastAsia" w:hAnsi="宋体"/>
          <w:sz w:val="24"/>
        </w:rPr>
        <w:t>》GB50974-2014第12.3.6条：消防水泵接合器的安装应符合下列规定：</w:t>
      </w:r>
      <w:r>
        <w:rPr>
          <w:rFonts w:hint="eastAsia" w:hAnsi="宋体"/>
          <w:sz w:val="24"/>
        </w:rPr>
        <w:br w:type="textWrapping"/>
      </w:r>
      <w:r>
        <w:rPr>
          <w:rFonts w:hint="eastAsia" w:hAnsi="宋体"/>
          <w:sz w:val="24"/>
          <w:lang w:val="en-US" w:eastAsia="zh-CN"/>
        </w:rPr>
        <w:t xml:space="preserve">    （1）</w:t>
      </w:r>
      <w:r>
        <w:rPr>
          <w:rFonts w:hint="eastAsia" w:hAnsi="宋体"/>
          <w:sz w:val="24"/>
        </w:rPr>
        <w:t>消防水泵接合器的安装，应按接口、本体、连接管、止回阀、安全阀、放空管、控制阀的顺序进行，止回阀的安装方向应使消防用水能从消防水泵接合器进入系统，整体式消防水泵接合器的安装，应按其使用安装说明书进行；</w:t>
      </w:r>
      <w:r>
        <w:rPr>
          <w:rFonts w:hint="eastAsia" w:hAnsi="宋体"/>
          <w:sz w:val="24"/>
        </w:rPr>
        <w:br w:type="textWrapping"/>
      </w:r>
      <w:r>
        <w:rPr>
          <w:rFonts w:hint="eastAsia" w:hAnsi="宋体"/>
          <w:sz w:val="24"/>
          <w:lang w:val="en-US" w:eastAsia="zh-CN"/>
        </w:rPr>
        <w:t xml:space="preserve">    （2）</w:t>
      </w:r>
      <w:r>
        <w:rPr>
          <w:rFonts w:hint="eastAsia" w:hAnsi="宋体"/>
          <w:sz w:val="24"/>
        </w:rPr>
        <w:t>消防水泵接合器的设置位置应符合设计要求；</w:t>
      </w:r>
      <w:r>
        <w:rPr>
          <w:rFonts w:hint="eastAsia" w:hAnsi="宋体"/>
          <w:sz w:val="24"/>
        </w:rPr>
        <w:br w:type="textWrapping"/>
      </w:r>
      <w:r>
        <w:rPr>
          <w:rFonts w:hint="eastAsia" w:hAnsi="宋体"/>
          <w:sz w:val="24"/>
          <w:lang w:val="en-US" w:eastAsia="zh-CN"/>
        </w:rPr>
        <w:t xml:space="preserve">    （3）</w:t>
      </w:r>
      <w:r>
        <w:rPr>
          <w:rFonts w:hint="eastAsia" w:hAnsi="宋体"/>
          <w:sz w:val="24"/>
        </w:rPr>
        <w:t>消防水泵接合器永久性固定标志应能识别其所对应的消防给水系统或水灭火系统，当有分区时应有分区标识；</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4</w:t>
      </w:r>
      <w:r>
        <w:rPr>
          <w:rFonts w:hint="eastAsia" w:hAnsi="宋体"/>
          <w:sz w:val="24"/>
          <w:lang w:eastAsia="zh-CN"/>
        </w:rPr>
        <w:t>）</w:t>
      </w:r>
      <w:r>
        <w:rPr>
          <w:rFonts w:hint="eastAsia" w:hAnsi="宋体"/>
          <w:sz w:val="24"/>
        </w:rPr>
        <w:t>地下消防水泵接合器应采用铸有“消防水泵接合器”标志的铸铁井盖，并应在其附近设置指示其位置的永久性固定标志；</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5</w:t>
      </w:r>
      <w:r>
        <w:rPr>
          <w:rFonts w:hint="eastAsia" w:hAnsi="宋体"/>
          <w:sz w:val="24"/>
          <w:lang w:eastAsia="zh-CN"/>
        </w:rPr>
        <w:t>）</w:t>
      </w:r>
      <w:r>
        <w:rPr>
          <w:rFonts w:hint="eastAsia" w:hAnsi="宋体"/>
          <w:sz w:val="24"/>
        </w:rPr>
        <w:t>墙壁消防水泵接合器的安装应符合设计要求。设计无要求时，其安装高度距地面宜为0.7m；与墙面上的门、窗、孔、洞的净距离不应小于2.0m，且不应安装在玻璃幕墙下方；</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6</w:t>
      </w:r>
      <w:r>
        <w:rPr>
          <w:rFonts w:hint="eastAsia" w:hAnsi="宋体"/>
          <w:sz w:val="24"/>
          <w:lang w:eastAsia="zh-CN"/>
        </w:rPr>
        <w:t>）</w:t>
      </w:r>
      <w:r>
        <w:rPr>
          <w:rFonts w:hint="eastAsia" w:hAnsi="宋体"/>
          <w:sz w:val="24"/>
        </w:rPr>
        <w:t>地下消防水泵接合器的安装，应使进水口与井盖底面的距离不大于0.4m，且不应小于井盖的半径；</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7</w:t>
      </w:r>
      <w:r>
        <w:rPr>
          <w:rFonts w:hint="eastAsia" w:hAnsi="宋体"/>
          <w:sz w:val="24"/>
          <w:lang w:eastAsia="zh-CN"/>
        </w:rPr>
        <w:t>）</w:t>
      </w:r>
      <w:r>
        <w:rPr>
          <w:rFonts w:hint="eastAsia" w:hAnsi="宋体"/>
          <w:sz w:val="24"/>
        </w:rPr>
        <w:t>消火栓水泵接合器与消防通道之间不应设有妨碍消防车加压供水的障碍物；</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8</w:t>
      </w:r>
      <w:r>
        <w:rPr>
          <w:rFonts w:hint="eastAsia" w:hAnsi="宋体"/>
          <w:sz w:val="24"/>
          <w:lang w:eastAsia="zh-CN"/>
        </w:rPr>
        <w:t>）</w:t>
      </w:r>
      <w:r>
        <w:rPr>
          <w:rFonts w:hint="eastAsia" w:hAnsi="宋体"/>
          <w:sz w:val="24"/>
        </w:rPr>
        <w:t>地下消防水泵接合器井的砌筑应有防水和排水措施。</w:t>
      </w:r>
    </w:p>
    <w:p>
      <w:pPr>
        <w:spacing w:line="360" w:lineRule="auto"/>
        <w:ind w:firstLine="480" w:firstLineChars="200"/>
        <w:rPr>
          <w:rFonts w:hAnsi="宋体"/>
          <w:sz w:val="24"/>
        </w:rPr>
      </w:pPr>
      <w:r>
        <w:rPr>
          <w:rFonts w:hint="eastAsia" w:hAnsi="宋体"/>
          <w:sz w:val="24"/>
          <w:lang w:eastAsia="zh-CN"/>
        </w:rPr>
        <w:t>（三）、</w:t>
      </w:r>
      <w:r>
        <w:rPr>
          <w:rFonts w:hint="eastAsia" w:hAnsi="宋体"/>
          <w:sz w:val="24"/>
        </w:rPr>
        <w:t>根据《</w:t>
      </w:r>
      <w:r>
        <w:fldChar w:fldCharType="begin"/>
      </w:r>
      <w:r>
        <w:instrText xml:space="preserve"> HYPERLINK "https://gf.1190119.com/list-98.htm" </w:instrText>
      </w:r>
      <w:r>
        <w:fldChar w:fldCharType="separate"/>
      </w:r>
      <w:r>
        <w:rPr>
          <w:rFonts w:hint="eastAsia" w:hAnsi="宋体"/>
          <w:sz w:val="24"/>
        </w:rPr>
        <w:t xml:space="preserve">消防给水及消火栓系统技术规范 </w:t>
      </w:r>
      <w:r>
        <w:rPr>
          <w:rFonts w:hint="eastAsia" w:hAnsi="宋体"/>
          <w:sz w:val="24"/>
        </w:rPr>
        <w:fldChar w:fldCharType="end"/>
      </w:r>
      <w:r>
        <w:rPr>
          <w:rFonts w:hint="eastAsia" w:hAnsi="宋体"/>
          <w:sz w:val="24"/>
        </w:rPr>
        <w:t>》GB50974-2014第12.3.10条：消火栓箱的安装应符合下列规定：</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1</w:t>
      </w:r>
      <w:r>
        <w:rPr>
          <w:rFonts w:hint="eastAsia" w:hAnsi="宋体"/>
          <w:sz w:val="24"/>
          <w:lang w:eastAsia="zh-CN"/>
        </w:rPr>
        <w:t>）</w:t>
      </w:r>
      <w:r>
        <w:rPr>
          <w:rFonts w:hint="eastAsia" w:hAnsi="宋体"/>
          <w:sz w:val="24"/>
        </w:rPr>
        <w:t>消火栓的启闭阀门设置位置应便于操作使用，阀门的中心距箱侧面应为140mm，距箱后内表面应为100mm，允许偏差±5mm；</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2</w:t>
      </w:r>
      <w:r>
        <w:rPr>
          <w:rFonts w:hint="eastAsia" w:hAnsi="宋体"/>
          <w:sz w:val="24"/>
          <w:lang w:eastAsia="zh-CN"/>
        </w:rPr>
        <w:t>）</w:t>
      </w:r>
      <w:r>
        <w:rPr>
          <w:rFonts w:hint="eastAsia" w:hAnsi="宋体"/>
          <w:sz w:val="24"/>
        </w:rPr>
        <w:t>室内消火栓箱的安装应平正、牢固，暗装的消火栓箱不应破坏隔墙的耐火性能；</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3</w:t>
      </w:r>
      <w:r>
        <w:rPr>
          <w:rFonts w:hint="eastAsia" w:hAnsi="宋体"/>
          <w:sz w:val="24"/>
          <w:lang w:eastAsia="zh-CN"/>
        </w:rPr>
        <w:t>）</w:t>
      </w:r>
      <w:r>
        <w:rPr>
          <w:rFonts w:hint="eastAsia" w:hAnsi="宋体"/>
          <w:sz w:val="24"/>
        </w:rPr>
        <w:t>箱体安装的垂直度允许偏差为±3mm；</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4</w:t>
      </w:r>
      <w:r>
        <w:rPr>
          <w:rFonts w:hint="eastAsia" w:hAnsi="宋体"/>
          <w:sz w:val="24"/>
          <w:lang w:eastAsia="zh-CN"/>
        </w:rPr>
        <w:t>）</w:t>
      </w:r>
      <w:r>
        <w:rPr>
          <w:rFonts w:hint="eastAsia" w:hAnsi="宋体"/>
          <w:sz w:val="24"/>
        </w:rPr>
        <w:t>消火栓箱门的开启不应小于120°；</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5</w:t>
      </w:r>
      <w:r>
        <w:rPr>
          <w:rFonts w:hint="eastAsia" w:hAnsi="宋体"/>
          <w:sz w:val="24"/>
          <w:lang w:eastAsia="zh-CN"/>
        </w:rPr>
        <w:t>）</w:t>
      </w:r>
      <w:r>
        <w:rPr>
          <w:rFonts w:hint="eastAsia" w:hAnsi="宋体"/>
          <w:sz w:val="24"/>
        </w:rPr>
        <w:t>安装消火栓水龙带，水龙带与消防水枪和快速接头绑扎好后，应根据箱内构造将水龙带放置；</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6</w:t>
      </w:r>
      <w:r>
        <w:rPr>
          <w:rFonts w:hint="eastAsia" w:hAnsi="宋体"/>
          <w:sz w:val="24"/>
          <w:lang w:eastAsia="zh-CN"/>
        </w:rPr>
        <w:t>）</w:t>
      </w:r>
      <w:r>
        <w:rPr>
          <w:rFonts w:hint="eastAsia" w:hAnsi="宋体"/>
          <w:sz w:val="24"/>
        </w:rPr>
        <w:t>双向开门消火栓箱应有耐火等级应符合设计要求，当设计没有要求时应至少满足1h耐火极限的要求；</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7</w:t>
      </w:r>
      <w:r>
        <w:rPr>
          <w:rFonts w:hint="eastAsia" w:hAnsi="宋体"/>
          <w:sz w:val="24"/>
          <w:lang w:eastAsia="zh-CN"/>
        </w:rPr>
        <w:t>）</w:t>
      </w:r>
      <w:r>
        <w:rPr>
          <w:rFonts w:hint="eastAsia" w:hAnsi="宋体"/>
          <w:sz w:val="24"/>
        </w:rPr>
        <w:t>消火栓箱门上应用红色字体注明“消火栓”字样。</w:t>
      </w:r>
    </w:p>
    <w:p>
      <w:pPr>
        <w:spacing w:line="360" w:lineRule="auto"/>
        <w:ind w:firstLine="480" w:firstLineChars="200"/>
        <w:rPr>
          <w:rFonts w:hAnsi="宋体"/>
          <w:sz w:val="24"/>
        </w:rPr>
      </w:pPr>
      <w:r>
        <w:rPr>
          <w:rFonts w:hint="eastAsia" w:hAnsi="宋体"/>
          <w:sz w:val="24"/>
          <w:lang w:eastAsia="zh-CN"/>
        </w:rPr>
        <w:t>（四）、</w:t>
      </w:r>
      <w:r>
        <w:rPr>
          <w:rFonts w:hint="eastAsia" w:hAnsi="宋体"/>
          <w:sz w:val="24"/>
        </w:rPr>
        <w:t>根据《</w:t>
      </w:r>
      <w:r>
        <w:fldChar w:fldCharType="begin"/>
      </w:r>
      <w:r>
        <w:instrText xml:space="preserve"> HYPERLINK "https://gf.1190119.com/list-98.htm" </w:instrText>
      </w:r>
      <w:r>
        <w:fldChar w:fldCharType="separate"/>
      </w:r>
      <w:r>
        <w:rPr>
          <w:rFonts w:hint="eastAsia" w:hAnsi="宋体"/>
          <w:sz w:val="24"/>
        </w:rPr>
        <w:t xml:space="preserve">消防给水及消火栓系统技术规范 </w:t>
      </w:r>
      <w:r>
        <w:rPr>
          <w:rFonts w:hint="eastAsia" w:hAnsi="宋体"/>
          <w:sz w:val="24"/>
        </w:rPr>
        <w:fldChar w:fldCharType="end"/>
      </w:r>
      <w:r>
        <w:rPr>
          <w:rFonts w:hint="eastAsia" w:hAnsi="宋体"/>
          <w:sz w:val="24"/>
        </w:rPr>
        <w:t>》GB50974-2014第12.3.25 条：消防给水系统阀门的安装应符合下列要求：</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1</w:t>
      </w:r>
      <w:r>
        <w:rPr>
          <w:rFonts w:hint="eastAsia" w:hAnsi="宋体"/>
          <w:sz w:val="24"/>
          <w:lang w:eastAsia="zh-CN"/>
        </w:rPr>
        <w:t>）</w:t>
      </w:r>
      <w:r>
        <w:rPr>
          <w:rFonts w:hint="eastAsia" w:hAnsi="宋体"/>
          <w:sz w:val="24"/>
        </w:rPr>
        <w:t>各类阀门型号、规格及公称压力应符合设计要求。</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2</w:t>
      </w:r>
      <w:r>
        <w:rPr>
          <w:rFonts w:hint="eastAsia" w:hAnsi="宋体"/>
          <w:sz w:val="24"/>
          <w:lang w:eastAsia="zh-CN"/>
        </w:rPr>
        <w:t>）</w:t>
      </w:r>
      <w:r>
        <w:rPr>
          <w:rFonts w:hint="eastAsia" w:hAnsi="宋体"/>
          <w:sz w:val="24"/>
        </w:rPr>
        <w:t>阀门的设置应便于安装维修和操作，且安装空间应能满足阀门完全启闭的要求，并应作出标志；</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3</w:t>
      </w:r>
      <w:r>
        <w:rPr>
          <w:rFonts w:hint="eastAsia" w:hAnsi="宋体"/>
          <w:sz w:val="24"/>
          <w:lang w:eastAsia="zh-CN"/>
        </w:rPr>
        <w:t>）</w:t>
      </w:r>
      <w:r>
        <w:rPr>
          <w:rFonts w:hint="eastAsia" w:hAnsi="宋体"/>
          <w:sz w:val="24"/>
        </w:rPr>
        <w:t>阀门应有明显的启闭标志；</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4</w:t>
      </w:r>
      <w:r>
        <w:rPr>
          <w:rFonts w:hint="eastAsia" w:hAnsi="宋体"/>
          <w:sz w:val="24"/>
          <w:lang w:eastAsia="zh-CN"/>
        </w:rPr>
        <w:t>）</w:t>
      </w:r>
      <w:r>
        <w:rPr>
          <w:rFonts w:hint="eastAsia" w:hAnsi="宋体"/>
          <w:sz w:val="24"/>
        </w:rPr>
        <w:t>消防给水系统干管与水灭火系统连接处应设置独立阀门，并应保证各系统独立使用。</w:t>
      </w:r>
    </w:p>
    <w:p>
      <w:pPr>
        <w:spacing w:line="360" w:lineRule="auto"/>
        <w:ind w:firstLine="480" w:firstLineChars="200"/>
        <w:rPr>
          <w:rFonts w:hAnsi="宋体"/>
          <w:sz w:val="24"/>
        </w:rPr>
      </w:pPr>
      <w:r>
        <w:rPr>
          <w:rFonts w:hint="eastAsia" w:hAnsi="宋体"/>
          <w:sz w:val="24"/>
          <w:lang w:eastAsia="zh-CN"/>
        </w:rPr>
        <w:t>（五）、</w:t>
      </w:r>
      <w:r>
        <w:rPr>
          <w:rFonts w:hint="eastAsia" w:hAnsi="宋体"/>
          <w:sz w:val="24"/>
        </w:rPr>
        <w:t>根据《</w:t>
      </w:r>
      <w:r>
        <w:fldChar w:fldCharType="begin"/>
      </w:r>
      <w:r>
        <w:instrText xml:space="preserve"> HYPERLINK "https://gf.1190119.com/list-98.htm" </w:instrText>
      </w:r>
      <w:r>
        <w:fldChar w:fldCharType="separate"/>
      </w:r>
      <w:r>
        <w:rPr>
          <w:rFonts w:hint="eastAsia" w:hAnsi="宋体"/>
          <w:sz w:val="24"/>
        </w:rPr>
        <w:t xml:space="preserve">消防给水及消火栓系统技术规范 </w:t>
      </w:r>
      <w:r>
        <w:rPr>
          <w:rFonts w:hint="eastAsia" w:hAnsi="宋体"/>
          <w:sz w:val="24"/>
        </w:rPr>
        <w:fldChar w:fldCharType="end"/>
      </w:r>
      <w:r>
        <w:rPr>
          <w:rFonts w:hint="eastAsia" w:hAnsi="宋体"/>
          <w:sz w:val="24"/>
        </w:rPr>
        <w:t>》GB50974-2014第12.3.16条：钢丝网骨架塑料复合管道钢塑过渡接头连接应符合下列要求：</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1</w:t>
      </w:r>
      <w:r>
        <w:rPr>
          <w:rFonts w:hint="eastAsia" w:hAnsi="宋体"/>
          <w:sz w:val="24"/>
          <w:lang w:eastAsia="zh-CN"/>
        </w:rPr>
        <w:t>）</w:t>
      </w:r>
      <w:r>
        <w:rPr>
          <w:rFonts w:hint="eastAsia" w:hAnsi="宋体"/>
          <w:sz w:val="24"/>
        </w:rPr>
        <w:t>钢塑过渡接头的钢丝网骨架塑料复合管管端与聚乙烯管道连接，应符合热熔连接或电熔连接的规定；</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2</w:t>
      </w:r>
      <w:r>
        <w:rPr>
          <w:rFonts w:hint="eastAsia" w:hAnsi="宋体"/>
          <w:sz w:val="24"/>
          <w:lang w:eastAsia="zh-CN"/>
        </w:rPr>
        <w:t>）</w:t>
      </w:r>
      <w:r>
        <w:rPr>
          <w:rFonts w:hint="eastAsia" w:hAnsi="宋体"/>
          <w:sz w:val="24"/>
        </w:rPr>
        <w:t>钢塑过渡接头钢管端与金属管道连接应符合相应的钢管焊接、法兰连接或机械连接的规定；</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3</w:t>
      </w:r>
      <w:r>
        <w:rPr>
          <w:rFonts w:hint="eastAsia" w:hAnsi="宋体"/>
          <w:sz w:val="24"/>
          <w:lang w:eastAsia="zh-CN"/>
        </w:rPr>
        <w:t>）</w:t>
      </w:r>
      <w:r>
        <w:rPr>
          <w:rFonts w:hint="eastAsia" w:hAnsi="宋体"/>
          <w:sz w:val="24"/>
        </w:rPr>
        <w:t>钢塑过渡接头钢管端与钢管应采用法兰连接，不得采用焊接连接，当必须焊接时，应采取降温措施；</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4</w:t>
      </w:r>
      <w:r>
        <w:rPr>
          <w:rFonts w:hint="eastAsia" w:hAnsi="宋体"/>
          <w:sz w:val="24"/>
          <w:lang w:eastAsia="zh-CN"/>
        </w:rPr>
        <w:t>）</w:t>
      </w:r>
      <w:r>
        <w:rPr>
          <w:rFonts w:hint="eastAsia" w:hAnsi="宋体"/>
          <w:sz w:val="24"/>
        </w:rPr>
        <w:t>公称外径大于或等于dn110的钢丝网骨架塑料复合管与管径大于或等于DN100的金属管连接时，可采用人字形柔性接口配件，配件两端的密封胶圈应分别与聚乙烯管和金属管相配套；</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5</w:t>
      </w:r>
      <w:r>
        <w:rPr>
          <w:rFonts w:hint="eastAsia" w:hAnsi="宋体"/>
          <w:sz w:val="24"/>
          <w:lang w:eastAsia="zh-CN"/>
        </w:rPr>
        <w:t>）</w:t>
      </w:r>
      <w:r>
        <w:rPr>
          <w:rFonts w:hint="eastAsia" w:hAnsi="宋体"/>
          <w:sz w:val="24"/>
        </w:rPr>
        <w:t>钢丝网骨架塑料复合管和金属管、阀门相连接时，规格尺寸应相互配套。</w:t>
      </w:r>
    </w:p>
    <w:p>
      <w:pPr>
        <w:spacing w:line="360" w:lineRule="auto"/>
        <w:ind w:firstLine="480" w:firstLineChars="200"/>
        <w:rPr>
          <w:rFonts w:hint="eastAsia" w:hAnsi="宋体"/>
          <w:sz w:val="24"/>
        </w:rPr>
      </w:pPr>
      <w:r>
        <w:rPr>
          <w:rFonts w:hint="eastAsia" w:hAnsi="宋体"/>
          <w:sz w:val="24"/>
          <w:lang w:eastAsia="zh-CN"/>
        </w:rPr>
        <w:t>（六）、</w:t>
      </w:r>
      <w:r>
        <w:rPr>
          <w:rFonts w:hint="eastAsia" w:hAnsi="宋体"/>
          <w:sz w:val="24"/>
        </w:rPr>
        <w:t>根据《</w:t>
      </w:r>
      <w:r>
        <w:fldChar w:fldCharType="begin"/>
      </w:r>
      <w:r>
        <w:instrText xml:space="preserve"> HYPERLINK "https://gf.1190119.com/list-98.htm" </w:instrText>
      </w:r>
      <w:r>
        <w:fldChar w:fldCharType="separate"/>
      </w:r>
      <w:r>
        <w:rPr>
          <w:rFonts w:hint="eastAsia" w:hAnsi="宋体"/>
          <w:sz w:val="24"/>
        </w:rPr>
        <w:t xml:space="preserve">消防给水及消火栓系统技术规范 </w:t>
      </w:r>
      <w:r>
        <w:rPr>
          <w:rFonts w:hint="eastAsia" w:hAnsi="宋体"/>
          <w:sz w:val="24"/>
        </w:rPr>
        <w:fldChar w:fldCharType="end"/>
      </w:r>
      <w:r>
        <w:rPr>
          <w:rFonts w:hint="eastAsia" w:hAnsi="宋体"/>
          <w:sz w:val="24"/>
        </w:rPr>
        <w:t>》GB50974-2014第12.3.17条：埋地管道的连接方式和基础支墩应符合下列要求：</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1</w:t>
      </w:r>
      <w:r>
        <w:rPr>
          <w:rFonts w:hint="eastAsia" w:hAnsi="宋体"/>
          <w:sz w:val="24"/>
          <w:lang w:eastAsia="zh-CN"/>
        </w:rPr>
        <w:t>）</w:t>
      </w:r>
      <w:r>
        <w:rPr>
          <w:rFonts w:hint="eastAsia" w:hAnsi="宋体"/>
          <w:sz w:val="24"/>
        </w:rPr>
        <w:t>地震裂度在7度及7度以上时宜采用柔性连接的金属管道或钢丝网骨架塑料复合管等；</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2</w:t>
      </w:r>
      <w:r>
        <w:rPr>
          <w:rFonts w:hint="eastAsia" w:hAnsi="宋体"/>
          <w:sz w:val="24"/>
          <w:lang w:eastAsia="zh-CN"/>
        </w:rPr>
        <w:t>）</w:t>
      </w:r>
      <w:r>
        <w:rPr>
          <w:rFonts w:hint="eastAsia" w:hAnsi="宋体"/>
          <w:sz w:val="24"/>
        </w:rPr>
        <w:t>当采用球墨铸铁时宜采用承插连接；</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3</w:t>
      </w:r>
      <w:r>
        <w:rPr>
          <w:rFonts w:hint="eastAsia" w:hAnsi="宋体"/>
          <w:sz w:val="24"/>
          <w:lang w:eastAsia="zh-CN"/>
        </w:rPr>
        <w:t>）</w:t>
      </w:r>
      <w:r>
        <w:rPr>
          <w:rFonts w:hint="eastAsia" w:hAnsi="宋体"/>
          <w:sz w:val="24"/>
        </w:rPr>
        <w:t>当采用焊接钢管时宜采用法兰和沟槽连接件连接；</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4</w:t>
      </w:r>
      <w:r>
        <w:rPr>
          <w:rFonts w:hint="eastAsia" w:hAnsi="宋体"/>
          <w:sz w:val="24"/>
          <w:lang w:eastAsia="zh-CN"/>
        </w:rPr>
        <w:t>）</w:t>
      </w:r>
      <w:r>
        <w:rPr>
          <w:rFonts w:hint="eastAsia" w:hAnsi="宋体"/>
          <w:sz w:val="24"/>
        </w:rPr>
        <w:t>当采用钢丝网骨架塑料复合管时应采用电熔连接；</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5</w:t>
      </w:r>
      <w:r>
        <w:rPr>
          <w:rFonts w:hint="eastAsia" w:hAnsi="宋体"/>
          <w:sz w:val="24"/>
          <w:lang w:eastAsia="zh-CN"/>
        </w:rPr>
        <w:t>）</w:t>
      </w:r>
      <w:r>
        <w:rPr>
          <w:rFonts w:hint="eastAsia" w:hAnsi="宋体"/>
          <w:sz w:val="24"/>
        </w:rPr>
        <w:t>埋地管道的施工时除符合本规范的有关规定外，还应符合现行国家标准《给水排水管道工程施工及验收规范》GB 50268的有关规定；</w:t>
      </w:r>
      <w:r>
        <w:rPr>
          <w:rFonts w:hint="eastAsia" w:hAnsi="宋体"/>
          <w:sz w:val="24"/>
        </w:rPr>
        <w:br w:type="textWrapping"/>
      </w:r>
      <w:r>
        <w:rPr>
          <w:rFonts w:hint="eastAsia" w:hAnsi="宋体"/>
          <w:sz w:val="24"/>
          <w:lang w:val="en-US" w:eastAsia="zh-CN"/>
        </w:rPr>
        <w:t xml:space="preserve">    </w:t>
      </w:r>
      <w:r>
        <w:rPr>
          <w:rFonts w:hint="eastAsia" w:hAnsi="宋体"/>
          <w:sz w:val="24"/>
          <w:lang w:eastAsia="zh-CN"/>
        </w:rPr>
        <w:t>（</w:t>
      </w:r>
      <w:r>
        <w:rPr>
          <w:rFonts w:hint="eastAsia" w:hAnsi="宋体"/>
          <w:sz w:val="24"/>
          <w:lang w:val="en-US" w:eastAsia="zh-CN"/>
        </w:rPr>
        <w:t>6</w:t>
      </w:r>
      <w:r>
        <w:rPr>
          <w:rFonts w:hint="eastAsia" w:hAnsi="宋体"/>
          <w:sz w:val="24"/>
          <w:lang w:eastAsia="zh-CN"/>
        </w:rPr>
        <w:t>）</w:t>
      </w:r>
      <w:r>
        <w:rPr>
          <w:rFonts w:hint="eastAsia" w:hAnsi="宋体"/>
          <w:sz w:val="24"/>
        </w:rPr>
        <w:t>埋地消防给水管道的基础和支墩应符合设计要求，当设计对支墩没有要求时，应在管道三通或转弯处设置混凝土支墩。</w:t>
      </w:r>
    </w:p>
    <w:p>
      <w:pPr>
        <w:spacing w:line="360" w:lineRule="auto"/>
        <w:ind w:firstLine="480" w:firstLineChars="200"/>
        <w:rPr>
          <w:rFonts w:hint="eastAsia" w:hAnsi="宋体"/>
          <w:sz w:val="24"/>
        </w:rPr>
      </w:pPr>
      <w:r>
        <w:rPr>
          <w:rFonts w:hint="eastAsia" w:hAnsi="宋体"/>
          <w:sz w:val="24"/>
          <w:lang w:eastAsia="zh-CN"/>
        </w:rPr>
        <w:t>（七）、</w:t>
      </w:r>
      <w:r>
        <w:rPr>
          <w:rFonts w:hint="eastAsia" w:hAnsi="宋体"/>
          <w:sz w:val="24"/>
        </w:rPr>
        <w:t>PE管道施工按照《室外埋地聚乙烯（PE）给水管工程技术规程》DBJ52/T039-2017的要求：</w:t>
      </w:r>
    </w:p>
    <w:p>
      <w:pPr>
        <w:spacing w:line="360" w:lineRule="auto"/>
        <w:ind w:firstLine="480" w:firstLineChars="200"/>
        <w:rPr>
          <w:rFonts w:hint="eastAsia" w:hAnsi="宋体" w:eastAsia="宋体"/>
          <w:sz w:val="24"/>
          <w:lang w:eastAsia="zh-CN"/>
        </w:rPr>
      </w:pPr>
      <w:r>
        <w:rPr>
          <w:rFonts w:hint="eastAsia" w:hAnsi="宋体"/>
          <w:sz w:val="24"/>
          <w:lang w:eastAsia="zh-CN"/>
        </w:rPr>
        <w:t>（</w:t>
      </w:r>
      <w:r>
        <w:rPr>
          <w:rFonts w:hint="eastAsia" w:hAnsi="宋体"/>
          <w:sz w:val="24"/>
          <w:lang w:val="en-US" w:eastAsia="zh-CN"/>
        </w:rPr>
        <w:t>1</w:t>
      </w:r>
      <w:r>
        <w:rPr>
          <w:rFonts w:hint="eastAsia" w:hAnsi="宋体"/>
          <w:sz w:val="24"/>
          <w:lang w:eastAsia="zh-CN"/>
        </w:rPr>
        <w:t>）</w:t>
      </w:r>
      <w:r>
        <w:rPr>
          <w:rFonts w:hint="eastAsia" w:hAnsi="宋体"/>
          <w:sz w:val="24"/>
        </w:rPr>
        <w:t>聚乙烯给水管道连接应采取电熔连接（电熔承插连接）和热熔连接（热熔对接连接、热熔承插连接、热熔鞍形连接），不得采用螺纹连接和粘接。聚乙烯管道与金属管道、阀门连接必须采用钢塑过渡接头连接</w:t>
      </w:r>
      <w:r>
        <w:rPr>
          <w:rFonts w:hint="eastAsia" w:hAnsi="宋体"/>
          <w:sz w:val="24"/>
          <w:lang w:eastAsia="zh-CN"/>
        </w:rPr>
        <w:t>；</w:t>
      </w:r>
    </w:p>
    <w:p>
      <w:pPr>
        <w:spacing w:line="360" w:lineRule="auto"/>
        <w:ind w:firstLine="480" w:firstLineChars="200"/>
        <w:rPr>
          <w:rFonts w:hint="eastAsia" w:hAnsi="宋体" w:eastAsia="宋体"/>
          <w:sz w:val="24"/>
          <w:lang w:eastAsia="zh-CN"/>
        </w:rPr>
      </w:pPr>
      <w:r>
        <w:rPr>
          <w:rFonts w:hint="eastAsia" w:hAnsi="宋体"/>
          <w:sz w:val="24"/>
          <w:lang w:eastAsia="zh-CN"/>
        </w:rPr>
        <w:t>（</w:t>
      </w:r>
      <w:r>
        <w:rPr>
          <w:rFonts w:hint="eastAsia" w:hAnsi="宋体"/>
          <w:sz w:val="24"/>
          <w:lang w:val="en-US" w:eastAsia="zh-CN"/>
        </w:rPr>
        <w:t>2</w:t>
      </w:r>
      <w:r>
        <w:rPr>
          <w:rFonts w:hint="eastAsia" w:hAnsi="宋体"/>
          <w:sz w:val="24"/>
          <w:lang w:eastAsia="zh-CN"/>
        </w:rPr>
        <w:t>）</w:t>
      </w:r>
      <w:r>
        <w:rPr>
          <w:rFonts w:hint="eastAsia" w:hAnsi="宋体"/>
          <w:sz w:val="24"/>
        </w:rPr>
        <w:t>聚乙烯给水管道不同连接形式应采有对应的专用连接工具。连接时，不得使用明火加热</w:t>
      </w:r>
      <w:r>
        <w:rPr>
          <w:rFonts w:hint="eastAsia" w:hAnsi="宋体"/>
          <w:sz w:val="24"/>
          <w:lang w:eastAsia="zh-CN"/>
        </w:rPr>
        <w:t>；</w:t>
      </w:r>
    </w:p>
    <w:p>
      <w:pPr>
        <w:spacing w:line="360" w:lineRule="auto"/>
        <w:ind w:firstLine="480" w:firstLineChars="200"/>
        <w:rPr>
          <w:rFonts w:hint="eastAsia" w:hAnsi="宋体"/>
          <w:sz w:val="24"/>
        </w:rPr>
      </w:pPr>
      <w:r>
        <w:rPr>
          <w:rFonts w:hint="eastAsia" w:hAnsi="宋体"/>
          <w:sz w:val="24"/>
          <w:lang w:eastAsia="zh-CN"/>
        </w:rPr>
        <w:t>（</w:t>
      </w:r>
      <w:r>
        <w:rPr>
          <w:rFonts w:hint="eastAsia" w:hAnsi="宋体"/>
          <w:sz w:val="24"/>
          <w:lang w:val="en-US" w:eastAsia="zh-CN"/>
        </w:rPr>
        <w:t>3</w:t>
      </w:r>
      <w:r>
        <w:rPr>
          <w:rFonts w:hint="eastAsia" w:hAnsi="宋体"/>
          <w:sz w:val="24"/>
          <w:lang w:eastAsia="zh-CN"/>
        </w:rPr>
        <w:t>）</w:t>
      </w:r>
      <w:r>
        <w:rPr>
          <w:rFonts w:hint="eastAsia" w:hAnsi="宋体"/>
          <w:sz w:val="24"/>
        </w:rPr>
        <w:t>聚乙烯给水管道连接采用热熔焊接时采用同种牌号、材质相同的管材和管件。 对性能相似的不同牌号、材质的管材与管材或管件之间的连接，应通过试验，判定连接质量能得到保证后，方可进行。</w:t>
      </w:r>
    </w:p>
    <w:p>
      <w:pPr>
        <w:spacing w:line="360" w:lineRule="auto"/>
        <w:ind w:firstLine="480" w:firstLineChars="200"/>
        <w:rPr>
          <w:rFonts w:hint="eastAsia" w:hAnsi="宋体"/>
          <w:sz w:val="24"/>
        </w:rPr>
      </w:pPr>
      <w:r>
        <w:rPr>
          <w:rFonts w:hint="eastAsia" w:hAnsi="宋体"/>
          <w:sz w:val="24"/>
          <w:lang w:eastAsia="zh-CN"/>
        </w:rPr>
        <w:t>（</w:t>
      </w:r>
      <w:r>
        <w:rPr>
          <w:rFonts w:hint="eastAsia" w:hAnsi="宋体"/>
          <w:sz w:val="24"/>
          <w:lang w:val="en-US" w:eastAsia="zh-CN"/>
        </w:rPr>
        <w:t>4</w:t>
      </w:r>
      <w:r>
        <w:rPr>
          <w:rFonts w:hint="eastAsia" w:hAnsi="宋体"/>
          <w:sz w:val="24"/>
          <w:lang w:eastAsia="zh-CN"/>
        </w:rPr>
        <w:t>）</w:t>
      </w:r>
      <w:r>
        <w:rPr>
          <w:rFonts w:hint="eastAsia" w:hAnsi="宋体"/>
          <w:sz w:val="24"/>
        </w:rPr>
        <w:t>电熔连接</w:t>
      </w:r>
    </w:p>
    <w:p>
      <w:pPr>
        <w:spacing w:line="360" w:lineRule="auto"/>
        <w:ind w:firstLine="480" w:firstLineChars="200"/>
        <w:rPr>
          <w:rFonts w:hint="eastAsia" w:hAnsi="宋体" w:eastAsia="宋体"/>
          <w:sz w:val="24"/>
          <w:lang w:eastAsia="zh-CN"/>
        </w:rPr>
      </w:pPr>
      <w:r>
        <w:rPr>
          <w:rFonts w:hint="eastAsia" w:hAnsi="宋体"/>
          <w:sz w:val="24"/>
        </w:rPr>
        <w:t>1）电熔连接机具与电熔管件应符合标准，连接时，通电电源的电压和加热时间应符合电熔管件生产厂的规定，根据使用的电压和电流强度及电源特性提供相应的电保护措施</w:t>
      </w:r>
      <w:r>
        <w:rPr>
          <w:rFonts w:hint="eastAsia" w:hAnsi="宋体"/>
          <w:sz w:val="24"/>
          <w:lang w:eastAsia="zh-CN"/>
        </w:rPr>
        <w:t>；</w:t>
      </w:r>
    </w:p>
    <w:p>
      <w:pPr>
        <w:spacing w:line="360" w:lineRule="auto"/>
        <w:ind w:firstLine="480" w:firstLineChars="200"/>
        <w:rPr>
          <w:rFonts w:hint="eastAsia" w:hAnsi="宋体" w:eastAsia="宋体"/>
          <w:sz w:val="24"/>
          <w:lang w:eastAsia="zh-CN"/>
        </w:rPr>
      </w:pPr>
      <w:r>
        <w:rPr>
          <w:rFonts w:hint="eastAsia" w:hAnsi="宋体"/>
          <w:sz w:val="24"/>
        </w:rPr>
        <w:t>2）电熔连接冷却期间，不得移动连接件或在连接上施加任何外力</w:t>
      </w:r>
      <w:r>
        <w:rPr>
          <w:rFonts w:hint="eastAsia" w:hAnsi="宋体"/>
          <w:sz w:val="24"/>
          <w:lang w:eastAsia="zh-CN"/>
        </w:rPr>
        <w:t>；</w:t>
      </w:r>
    </w:p>
    <w:p>
      <w:pPr>
        <w:spacing w:line="360" w:lineRule="auto"/>
        <w:ind w:firstLine="480" w:firstLineChars="200"/>
        <w:rPr>
          <w:rFonts w:hint="eastAsia" w:hAnsi="宋体"/>
          <w:sz w:val="24"/>
        </w:rPr>
      </w:pPr>
      <w:r>
        <w:rPr>
          <w:rFonts w:hint="eastAsia" w:hAnsi="宋体"/>
          <w:sz w:val="24"/>
        </w:rPr>
        <w:t>3）电熔承插连接还应符合下列规定：</w:t>
      </w:r>
    </w:p>
    <w:p>
      <w:pPr>
        <w:spacing w:line="360" w:lineRule="auto"/>
        <w:ind w:firstLine="480" w:firstLineChars="200"/>
        <w:rPr>
          <w:rFonts w:hint="eastAsia" w:hAnsi="宋体" w:eastAsia="宋体"/>
          <w:sz w:val="24"/>
          <w:lang w:eastAsia="zh-CN"/>
        </w:rPr>
      </w:pPr>
      <w:r>
        <w:rPr>
          <w:rFonts w:hint="eastAsia" w:hAnsi="宋体"/>
          <w:sz w:val="24"/>
        </w:rPr>
        <w:t>a、电熔承插连接管材的连接端应切割垂直，并应用洁净棉布擦净管材和管件上的污物，并应标出插入深度</w:t>
      </w:r>
      <w:r>
        <w:rPr>
          <w:rFonts w:hint="eastAsia" w:hAnsi="宋体"/>
          <w:sz w:val="24"/>
          <w:lang w:eastAsia="zh-CN"/>
        </w:rPr>
        <w:t>；</w:t>
      </w:r>
    </w:p>
    <w:p>
      <w:pPr>
        <w:spacing w:line="360" w:lineRule="auto"/>
        <w:ind w:firstLine="480" w:firstLineChars="200"/>
        <w:rPr>
          <w:rFonts w:hint="eastAsia" w:hAnsi="宋体" w:eastAsia="宋体"/>
          <w:sz w:val="24"/>
          <w:lang w:eastAsia="zh-CN"/>
        </w:rPr>
      </w:pPr>
      <w:r>
        <w:rPr>
          <w:rFonts w:hint="eastAsia" w:hAnsi="宋体"/>
          <w:sz w:val="24"/>
        </w:rPr>
        <w:t>b、电熔承插连接前，应校直两对应的待连接件，使其在同一轴线上</w:t>
      </w:r>
      <w:r>
        <w:rPr>
          <w:rFonts w:hint="eastAsia" w:hAnsi="宋体"/>
          <w:sz w:val="24"/>
          <w:lang w:eastAsia="zh-CN"/>
        </w:rPr>
        <w:t>。</w:t>
      </w:r>
    </w:p>
    <w:p>
      <w:pPr>
        <w:spacing w:line="360" w:lineRule="auto"/>
        <w:ind w:firstLine="480" w:firstLineChars="200"/>
        <w:rPr>
          <w:rFonts w:hint="eastAsia" w:hAnsi="宋体"/>
          <w:sz w:val="24"/>
        </w:rPr>
      </w:pPr>
      <w:r>
        <w:rPr>
          <w:rFonts w:hint="eastAsia" w:hAnsi="宋体"/>
          <w:sz w:val="24"/>
        </w:rPr>
        <w:t>4）电熔鞍形连接还应符合下列规定：</w:t>
      </w:r>
    </w:p>
    <w:p>
      <w:pPr>
        <w:spacing w:line="360" w:lineRule="auto"/>
        <w:ind w:firstLine="480" w:firstLineChars="200"/>
        <w:rPr>
          <w:rFonts w:hint="eastAsia" w:hAnsi="宋体" w:eastAsia="宋体"/>
          <w:sz w:val="24"/>
          <w:lang w:eastAsia="zh-CN"/>
        </w:rPr>
      </w:pPr>
      <w:r>
        <w:rPr>
          <w:rFonts w:hint="eastAsia" w:hAnsi="宋体"/>
          <w:sz w:val="24"/>
        </w:rPr>
        <w:t>a、干管连接部位下部应采用专用托架支撑，并固定、吻合</w:t>
      </w:r>
      <w:r>
        <w:rPr>
          <w:rFonts w:hint="eastAsia" w:hAnsi="宋体"/>
          <w:sz w:val="24"/>
          <w:lang w:eastAsia="zh-CN"/>
        </w:rPr>
        <w:t>；</w:t>
      </w:r>
    </w:p>
    <w:p>
      <w:pPr>
        <w:spacing w:line="360" w:lineRule="auto"/>
        <w:ind w:firstLine="480" w:firstLineChars="200"/>
        <w:rPr>
          <w:rFonts w:hint="eastAsia" w:hAnsi="宋体"/>
          <w:sz w:val="24"/>
        </w:rPr>
      </w:pPr>
      <w:r>
        <w:rPr>
          <w:rFonts w:hint="eastAsia" w:hAnsi="宋体"/>
          <w:sz w:val="24"/>
        </w:rPr>
        <w:t>b、电熔鞍形连接时，应用洁净棉布擦净连接面上污物，并应用刮刀刮除干管连接部位外表皮。</w:t>
      </w:r>
    </w:p>
    <w:p>
      <w:pPr>
        <w:spacing w:line="360" w:lineRule="auto"/>
        <w:ind w:firstLine="480" w:firstLineChars="200"/>
        <w:rPr>
          <w:rFonts w:hint="eastAsia" w:hAnsi="宋体"/>
          <w:sz w:val="24"/>
        </w:rPr>
      </w:pPr>
      <w:r>
        <w:rPr>
          <w:rFonts w:hint="eastAsia" w:hAnsi="宋体"/>
          <w:sz w:val="24"/>
        </w:rPr>
        <w:t>5）热熔连接</w:t>
      </w:r>
    </w:p>
    <w:p>
      <w:pPr>
        <w:spacing w:line="360" w:lineRule="auto"/>
        <w:ind w:firstLine="480" w:firstLineChars="200"/>
        <w:rPr>
          <w:rFonts w:hint="eastAsia" w:hAnsi="宋体" w:eastAsia="宋体"/>
          <w:sz w:val="24"/>
          <w:lang w:eastAsia="zh-CN"/>
        </w:rPr>
      </w:pPr>
      <w:r>
        <w:rPr>
          <w:rFonts w:hint="eastAsia" w:hAnsi="宋体"/>
          <w:sz w:val="24"/>
        </w:rPr>
        <w:t>1）热熔连接前、后，连接工具加热面上的污物应用洁净棉布擦净</w:t>
      </w:r>
      <w:r>
        <w:rPr>
          <w:rFonts w:hint="eastAsia" w:hAnsi="宋体"/>
          <w:sz w:val="24"/>
          <w:lang w:eastAsia="zh-CN"/>
        </w:rPr>
        <w:t>；</w:t>
      </w:r>
    </w:p>
    <w:p>
      <w:pPr>
        <w:spacing w:line="360" w:lineRule="auto"/>
        <w:ind w:firstLine="480" w:firstLineChars="200"/>
        <w:rPr>
          <w:rFonts w:hint="eastAsia" w:hAnsi="宋体" w:eastAsia="宋体"/>
          <w:sz w:val="24"/>
          <w:lang w:eastAsia="zh-CN"/>
        </w:rPr>
      </w:pPr>
      <w:r>
        <w:rPr>
          <w:rFonts w:hint="eastAsia" w:hAnsi="宋体"/>
          <w:sz w:val="24"/>
        </w:rPr>
        <w:t>2）热熔对接连接一般分为五个阶段：预热阶段、吸热阶段、加热板取出阶段、对接阶段、冷却阶段</w:t>
      </w:r>
      <w:r>
        <w:rPr>
          <w:rFonts w:hint="eastAsia" w:hAnsi="宋体"/>
          <w:sz w:val="24"/>
          <w:lang w:eastAsia="zh-CN"/>
        </w:rPr>
        <w:t>。</w:t>
      </w:r>
    </w:p>
    <w:p>
      <w:pPr>
        <w:spacing w:line="360" w:lineRule="auto"/>
        <w:ind w:firstLine="480" w:firstLineChars="200"/>
        <w:rPr>
          <w:rFonts w:hint="eastAsia" w:hAnsi="宋体"/>
          <w:sz w:val="24"/>
        </w:rPr>
      </w:pPr>
      <w:r>
        <w:rPr>
          <w:rFonts w:hint="eastAsia" w:hAnsi="宋体"/>
          <w:sz w:val="24"/>
        </w:rPr>
        <w:t>3）热熔对接连接应符合下列规定：</w:t>
      </w:r>
    </w:p>
    <w:p>
      <w:pPr>
        <w:spacing w:line="360" w:lineRule="auto"/>
        <w:ind w:firstLine="480" w:firstLineChars="200"/>
        <w:rPr>
          <w:rFonts w:hint="eastAsia" w:hAnsi="宋体" w:eastAsia="宋体"/>
          <w:sz w:val="24"/>
          <w:lang w:eastAsia="zh-CN"/>
        </w:rPr>
      </w:pPr>
      <w:r>
        <w:rPr>
          <w:rFonts w:hint="eastAsia" w:hAnsi="宋体"/>
          <w:sz w:val="24"/>
        </w:rPr>
        <w:t>a、对接连接前，两管段各伸出夹具一定自由长度，并应校直两对应的连接件，使其在同一轴线上，错边不宜大于壁厚的 10%</w:t>
      </w:r>
      <w:r>
        <w:rPr>
          <w:rFonts w:hint="eastAsia" w:hAnsi="宋体"/>
          <w:sz w:val="24"/>
          <w:lang w:eastAsia="zh-CN"/>
        </w:rPr>
        <w:t>；</w:t>
      </w:r>
    </w:p>
    <w:p>
      <w:pPr>
        <w:spacing w:line="360" w:lineRule="auto"/>
        <w:ind w:firstLine="480" w:firstLineChars="200"/>
        <w:rPr>
          <w:rFonts w:hint="eastAsia" w:hAnsi="宋体" w:eastAsia="宋体"/>
          <w:sz w:val="24"/>
          <w:lang w:eastAsia="zh-CN"/>
        </w:rPr>
      </w:pPr>
      <w:r>
        <w:rPr>
          <w:rFonts w:hint="eastAsia" w:hAnsi="宋体"/>
          <w:sz w:val="24"/>
        </w:rPr>
        <w:t>b、管材或管件连接面上的污物应有洁净棉布擦净，应铣削连接面，使其与轴线垂直，与对应的连接断面吻合</w:t>
      </w:r>
      <w:r>
        <w:rPr>
          <w:rFonts w:hint="eastAsia" w:hAnsi="宋体"/>
          <w:sz w:val="24"/>
          <w:lang w:eastAsia="zh-CN"/>
        </w:rPr>
        <w:t>；</w:t>
      </w:r>
    </w:p>
    <w:p>
      <w:pPr>
        <w:spacing w:line="360" w:lineRule="auto"/>
        <w:ind w:firstLine="480" w:firstLineChars="200"/>
        <w:rPr>
          <w:rFonts w:hint="eastAsia" w:hAnsi="宋体"/>
          <w:sz w:val="24"/>
        </w:rPr>
      </w:pPr>
      <w:r>
        <w:rPr>
          <w:rFonts w:hint="eastAsia" w:hAnsi="宋体"/>
          <w:sz w:val="24"/>
        </w:rPr>
        <w:t>c、端面用对接连接工具加热，平板电热模恒定温度 2100℃～2000℃。</w:t>
      </w:r>
    </w:p>
    <w:p>
      <w:pPr>
        <w:spacing w:line="360" w:lineRule="auto"/>
        <w:ind w:firstLine="480" w:firstLineChars="200"/>
        <w:rPr>
          <w:rFonts w:hint="eastAsia" w:hAnsi="宋体"/>
          <w:sz w:val="24"/>
        </w:rPr>
      </w:pPr>
      <w:r>
        <w:rPr>
          <w:rFonts w:hint="eastAsia" w:hAnsi="宋体"/>
          <w:sz w:val="24"/>
        </w:rPr>
        <w:t>4）热熔承插连接应符合下列规定：</w:t>
      </w:r>
    </w:p>
    <w:p>
      <w:pPr>
        <w:spacing w:line="360" w:lineRule="auto"/>
        <w:ind w:firstLine="480" w:firstLineChars="200"/>
        <w:rPr>
          <w:rFonts w:hint="eastAsia" w:hAnsi="宋体" w:eastAsia="宋体"/>
          <w:sz w:val="24"/>
          <w:lang w:eastAsia="zh-CN"/>
        </w:rPr>
      </w:pPr>
      <w:r>
        <w:rPr>
          <w:rFonts w:hint="eastAsia" w:hAnsi="宋体"/>
          <w:sz w:val="24"/>
        </w:rPr>
        <w:t>a、热熔承插连接管材的端面应切割垂直，并应用洁净棉布擦净管材和管件连接面上的污物，标出插入深度，刮除其表皮</w:t>
      </w:r>
      <w:r>
        <w:rPr>
          <w:rFonts w:hint="eastAsia" w:hAnsi="宋体"/>
          <w:sz w:val="24"/>
          <w:lang w:eastAsia="zh-CN"/>
        </w:rPr>
        <w:t>；</w:t>
      </w:r>
    </w:p>
    <w:p>
      <w:pPr>
        <w:spacing w:line="360" w:lineRule="auto"/>
        <w:ind w:firstLine="480" w:firstLineChars="200"/>
        <w:rPr>
          <w:rFonts w:hint="eastAsia" w:hAnsi="宋体" w:eastAsia="宋体"/>
          <w:sz w:val="24"/>
          <w:lang w:eastAsia="zh-CN"/>
        </w:rPr>
      </w:pPr>
      <w:r>
        <w:rPr>
          <w:rFonts w:hint="eastAsia" w:hAnsi="宋体"/>
          <w:sz w:val="24"/>
        </w:rPr>
        <w:t>b、承插连接前，应校直两对应的待连接件，使其在同一轴线上</w:t>
      </w:r>
      <w:r>
        <w:rPr>
          <w:rFonts w:hint="eastAsia" w:hAnsi="宋体"/>
          <w:sz w:val="24"/>
          <w:lang w:eastAsia="zh-CN"/>
        </w:rPr>
        <w:t>；</w:t>
      </w:r>
    </w:p>
    <w:p>
      <w:pPr>
        <w:spacing w:line="360" w:lineRule="auto"/>
        <w:ind w:firstLine="480" w:firstLineChars="200"/>
        <w:rPr>
          <w:rFonts w:hint="eastAsia" w:hAnsi="宋体" w:eastAsia="宋体"/>
          <w:sz w:val="24"/>
          <w:lang w:eastAsia="zh-CN"/>
        </w:rPr>
      </w:pPr>
      <w:r>
        <w:rPr>
          <w:rFonts w:hint="eastAsia" w:hAnsi="宋体"/>
          <w:sz w:val="24"/>
        </w:rPr>
        <w:t>c、插口外表面和承口内表面应用热熔承插连接工具加热</w:t>
      </w:r>
      <w:r>
        <w:rPr>
          <w:rFonts w:hint="eastAsia" w:hAnsi="宋体"/>
          <w:sz w:val="24"/>
          <w:lang w:eastAsia="zh-CN"/>
        </w:rPr>
        <w:t>；</w:t>
      </w:r>
    </w:p>
    <w:p>
      <w:pPr>
        <w:spacing w:line="360" w:lineRule="auto"/>
        <w:ind w:firstLine="480" w:firstLineChars="200"/>
        <w:rPr>
          <w:rFonts w:hint="eastAsia" w:hAnsi="宋体" w:eastAsia="宋体"/>
          <w:sz w:val="24"/>
          <w:lang w:eastAsia="zh-CN"/>
        </w:rPr>
      </w:pPr>
      <w:r>
        <w:rPr>
          <w:rFonts w:hint="eastAsia" w:hAnsi="宋体"/>
          <w:sz w:val="24"/>
        </w:rPr>
        <w:t>d、加热完毕，待连接件应迅速脱离承接连接工具，用均匀外力插至标记深度，形成均匀</w:t>
      </w:r>
      <w:r>
        <w:rPr>
          <w:rFonts w:hint="eastAsia" w:hAnsi="宋体"/>
          <w:sz w:val="24"/>
          <w:lang w:eastAsia="zh-CN"/>
        </w:rPr>
        <w:t>。</w:t>
      </w:r>
    </w:p>
    <w:p>
      <w:pPr>
        <w:spacing w:line="360" w:lineRule="auto"/>
        <w:ind w:firstLine="480" w:firstLineChars="200"/>
        <w:rPr>
          <w:rFonts w:hAnsi="宋体"/>
          <w:sz w:val="24"/>
        </w:rPr>
      </w:pPr>
      <w:r>
        <w:rPr>
          <w:rFonts w:hint="eastAsia" w:hAnsi="宋体"/>
          <w:sz w:val="24"/>
          <w:lang w:eastAsia="zh-CN"/>
        </w:rPr>
        <w:t>（八）、</w:t>
      </w:r>
      <w:r>
        <w:rPr>
          <w:rFonts w:hint="eastAsia" w:hAnsi="宋体"/>
          <w:sz w:val="24"/>
        </w:rPr>
        <w:t>室外消火栓安装参考图集13S201第25页安装，室外消火栓检修井为砖砌立式闸阀井（D=1200mm）详图集05S502第16页进行施工。</w:t>
      </w:r>
    </w:p>
    <w:p>
      <w:pPr>
        <w:spacing w:line="360" w:lineRule="auto"/>
        <w:ind w:firstLine="480" w:firstLineChars="200"/>
        <w:rPr>
          <w:rFonts w:hint="eastAsia" w:hAnsi="宋体" w:eastAsia="宋体"/>
          <w:sz w:val="24"/>
          <w:lang w:eastAsia="zh-CN"/>
        </w:rPr>
      </w:pPr>
      <w:r>
        <w:rPr>
          <w:rFonts w:hint="eastAsia" w:hAnsi="宋体"/>
          <w:sz w:val="24"/>
          <w:lang w:eastAsia="zh-CN"/>
        </w:rPr>
        <w:t>（九）、</w:t>
      </w:r>
      <w:r>
        <w:rPr>
          <w:rFonts w:hint="eastAsia" w:hAnsi="宋体"/>
          <w:sz w:val="24"/>
        </w:rPr>
        <w:t>室外消火栓检修井使用烧结普通页岩砖，其公称尺寸：长240mm，宽115mm，厚53mm。砂浆强度等级采用M7.5,其砌筑要求应符合《砌体结构工程施工质量验收规范》GB50203</w:t>
      </w:r>
      <w:r>
        <w:rPr>
          <w:rFonts w:hint="eastAsia" w:hAnsi="宋体"/>
          <w:sz w:val="24"/>
          <w:lang w:eastAsia="zh-CN"/>
        </w:rPr>
        <w:t>。</w:t>
      </w:r>
    </w:p>
    <w:p>
      <w:pPr>
        <w:spacing w:line="360" w:lineRule="auto"/>
        <w:ind w:firstLine="480" w:firstLineChars="200"/>
        <w:rPr>
          <w:rFonts w:hint="eastAsia" w:hAnsi="宋体" w:eastAsia="宋体"/>
          <w:sz w:val="24"/>
          <w:lang w:eastAsia="zh-CN"/>
        </w:rPr>
      </w:pPr>
      <w:r>
        <w:rPr>
          <w:rFonts w:hint="eastAsia" w:hAnsi="宋体"/>
          <w:sz w:val="24"/>
        </w:rPr>
        <w:t>（1）砌体砌筑时，混凝土多孔砖、混凝土实心砖、蒸压灰砂砖、蒸压粉煤灰砖等块体的产品龄期不应小于28d</w:t>
      </w:r>
      <w:r>
        <w:rPr>
          <w:rFonts w:hint="eastAsia" w:hAnsi="宋体"/>
          <w:sz w:val="24"/>
          <w:lang w:eastAsia="zh-CN"/>
        </w:rPr>
        <w:t>；</w:t>
      </w:r>
    </w:p>
    <w:p>
      <w:pPr>
        <w:spacing w:line="360" w:lineRule="auto"/>
        <w:ind w:firstLine="480" w:firstLineChars="200"/>
        <w:rPr>
          <w:rFonts w:hint="eastAsia" w:hAnsi="宋体"/>
          <w:sz w:val="24"/>
        </w:rPr>
      </w:pPr>
      <w:r>
        <w:rPr>
          <w:rFonts w:hint="eastAsia" w:hAnsi="宋体"/>
          <w:sz w:val="24"/>
        </w:rPr>
        <w:t>（2）砌筑烧结普通砖、烧结多孔砖、蒸压灰砂砖、蒸压粉煤灰砖砌体时，砖应提前1d～2d适度湿润，严禁采用干砖或处于吸水饱和状态的砖砌筑，块体湿润程度宜符合下列规定：</w:t>
      </w:r>
    </w:p>
    <w:p>
      <w:pPr>
        <w:spacing w:line="360" w:lineRule="auto"/>
        <w:ind w:firstLine="480" w:firstLineChars="200"/>
        <w:rPr>
          <w:rFonts w:hAnsi="宋体"/>
          <w:sz w:val="24"/>
        </w:rPr>
      </w:pPr>
      <w:r>
        <w:rPr>
          <w:rFonts w:hint="eastAsia" w:hAnsi="宋体"/>
          <w:sz w:val="24"/>
        </w:rPr>
        <w:t>1）烧结类块体的相对含水率60％～70％；</w:t>
      </w:r>
    </w:p>
    <w:p>
      <w:pPr>
        <w:spacing w:line="360" w:lineRule="auto"/>
        <w:ind w:firstLine="480" w:firstLineChars="200"/>
        <w:rPr>
          <w:rFonts w:hint="eastAsia" w:hAnsi="宋体"/>
          <w:sz w:val="24"/>
        </w:rPr>
      </w:pPr>
      <w:r>
        <w:rPr>
          <w:rFonts w:hint="eastAsia" w:hAnsi="宋体"/>
          <w:sz w:val="24"/>
        </w:rPr>
        <w:t>2）混凝土多孔砖及混凝土实心砖不需浇水湿润，但在气候干燥炎热的情况下，宜在砌筑前对其喷水湿润。其他非烧结类块体的相对含水率40％～50％。</w:t>
      </w:r>
    </w:p>
    <w:p>
      <w:pPr>
        <w:spacing w:line="360" w:lineRule="auto"/>
        <w:ind w:firstLine="480" w:firstLineChars="200"/>
        <w:rPr>
          <w:rFonts w:hint="eastAsia" w:hAnsi="宋体" w:eastAsia="宋体"/>
          <w:sz w:val="24"/>
          <w:lang w:eastAsia="zh-CN"/>
        </w:rPr>
      </w:pPr>
      <w:r>
        <w:rPr>
          <w:rFonts w:hint="eastAsia" w:hAnsi="宋体"/>
          <w:sz w:val="24"/>
        </w:rPr>
        <w:t>（3）采用铺浆法砌筑砌体，铺浆长度不得超过750mm；当施工期间气温超过30℃时，铺浆长度不得超过500mm</w:t>
      </w:r>
      <w:r>
        <w:rPr>
          <w:rFonts w:hint="eastAsia" w:hAnsi="宋体"/>
          <w:sz w:val="24"/>
          <w:lang w:eastAsia="zh-CN"/>
        </w:rPr>
        <w:t>；</w:t>
      </w:r>
    </w:p>
    <w:p>
      <w:pPr>
        <w:spacing w:line="360" w:lineRule="auto"/>
        <w:ind w:firstLine="480" w:firstLineChars="200"/>
        <w:rPr>
          <w:rFonts w:hint="eastAsia" w:hAnsi="宋体" w:eastAsia="宋体"/>
          <w:sz w:val="24"/>
          <w:lang w:eastAsia="zh-CN"/>
        </w:rPr>
      </w:pPr>
      <w:r>
        <w:rPr>
          <w:rFonts w:hint="eastAsia" w:hAnsi="宋体"/>
          <w:sz w:val="24"/>
        </w:rPr>
        <w:t>（4）240mm厚承重墙的每层墙的最上一皮砖，砖砌体的阶台水平面上及挑出层的外皮砖，应整砖丁砌</w:t>
      </w:r>
      <w:r>
        <w:rPr>
          <w:rFonts w:hint="eastAsia" w:hAnsi="宋体"/>
          <w:sz w:val="24"/>
          <w:lang w:eastAsia="zh-CN"/>
        </w:rPr>
        <w:t>；</w:t>
      </w:r>
    </w:p>
    <w:p>
      <w:pPr>
        <w:spacing w:line="360" w:lineRule="auto"/>
        <w:ind w:firstLine="480" w:firstLineChars="200"/>
        <w:rPr>
          <w:rFonts w:hint="eastAsia" w:hAnsi="宋体" w:eastAsia="宋体"/>
          <w:sz w:val="24"/>
          <w:lang w:eastAsia="zh-CN"/>
        </w:rPr>
      </w:pPr>
      <w:r>
        <w:rPr>
          <w:rFonts w:hint="eastAsia" w:hAnsi="宋体"/>
          <w:sz w:val="24"/>
        </w:rPr>
        <w:t>（5）竖向灰缝不应出现瞎缝、透明缝和假缝</w:t>
      </w:r>
      <w:r>
        <w:rPr>
          <w:rFonts w:hint="eastAsia" w:hAnsi="宋体"/>
          <w:sz w:val="24"/>
          <w:lang w:eastAsia="zh-CN"/>
        </w:rPr>
        <w:t>；</w:t>
      </w:r>
    </w:p>
    <w:p>
      <w:pPr>
        <w:spacing w:line="360" w:lineRule="auto"/>
        <w:ind w:firstLine="480" w:firstLineChars="200"/>
        <w:rPr>
          <w:rFonts w:hint="eastAsia" w:hAnsi="宋体" w:eastAsia="宋体"/>
          <w:sz w:val="24"/>
          <w:lang w:eastAsia="zh-CN"/>
        </w:rPr>
      </w:pPr>
      <w:r>
        <w:rPr>
          <w:rFonts w:hint="eastAsia" w:hAnsi="宋体"/>
          <w:sz w:val="24"/>
        </w:rPr>
        <w:t>（6）砖砌体施工临时间断处补砌时，必须将接槎处表面清理干净，洒水湿润，并填实砂浆，保持灰缝平直</w:t>
      </w:r>
      <w:r>
        <w:rPr>
          <w:rFonts w:hint="eastAsia" w:hAnsi="宋体"/>
          <w:sz w:val="24"/>
          <w:lang w:eastAsia="zh-CN"/>
        </w:rPr>
        <w:t>；</w:t>
      </w:r>
    </w:p>
    <w:p>
      <w:pPr>
        <w:spacing w:line="360" w:lineRule="auto"/>
        <w:ind w:firstLine="480" w:firstLineChars="200"/>
        <w:rPr>
          <w:rFonts w:hint="eastAsia" w:hAnsi="宋体" w:eastAsia="宋体"/>
          <w:sz w:val="24"/>
          <w:lang w:eastAsia="zh-CN"/>
        </w:rPr>
      </w:pPr>
      <w:r>
        <w:rPr>
          <w:rFonts w:hint="eastAsia" w:hAnsi="宋体"/>
          <w:sz w:val="24"/>
        </w:rPr>
        <w:t>（7）砖砌体的灰缝应横平竖直，厚薄均匀，水平灰缝厚度及竖向灰缝宽度宜为10mm，但不应小于8mm，也不应大于12mm</w:t>
      </w:r>
      <w:r>
        <w:rPr>
          <w:rFonts w:hint="eastAsia" w:hAnsi="宋体"/>
          <w:sz w:val="24"/>
          <w:lang w:eastAsia="zh-CN"/>
        </w:rPr>
        <w:t>；</w:t>
      </w:r>
    </w:p>
    <w:p>
      <w:pPr>
        <w:spacing w:line="360" w:lineRule="auto"/>
        <w:ind w:firstLine="480" w:firstLineChars="200"/>
        <w:rPr>
          <w:rFonts w:hint="eastAsia" w:hAnsi="宋体"/>
          <w:sz w:val="24"/>
        </w:rPr>
      </w:pPr>
      <w:r>
        <w:rPr>
          <w:rFonts w:hint="eastAsia" w:hAnsi="宋体"/>
          <w:sz w:val="24"/>
        </w:rPr>
        <w:t>（8）砖砌体尺寸、位置的允许偏差及检验应符合规范的规定。</w:t>
      </w:r>
    </w:p>
    <w:p>
      <w:pPr>
        <w:pStyle w:val="2"/>
      </w:pPr>
    </w:p>
    <w:p>
      <w:pPr>
        <w:spacing w:line="360" w:lineRule="auto"/>
        <w:ind w:firstLine="482" w:firstLineChars="200"/>
        <w:rPr>
          <w:rFonts w:hint="eastAsia" w:hAnsi="宋体"/>
          <w:b/>
          <w:bCs/>
          <w:sz w:val="24"/>
        </w:rPr>
      </w:pPr>
      <w:r>
        <w:rPr>
          <w:rFonts w:hint="eastAsia" w:hAnsi="宋体"/>
          <w:b/>
          <w:bCs/>
          <w:sz w:val="24"/>
          <w:lang w:val="en-US" w:eastAsia="zh-CN"/>
        </w:rPr>
        <w:t>三</w:t>
      </w:r>
      <w:r>
        <w:rPr>
          <w:rFonts w:hint="eastAsia" w:hAnsi="宋体"/>
          <w:b/>
          <w:bCs/>
          <w:sz w:val="24"/>
        </w:rPr>
        <w:t>、验收要求：</w:t>
      </w:r>
    </w:p>
    <w:p>
      <w:pPr>
        <w:pStyle w:val="2"/>
        <w:spacing w:line="360" w:lineRule="auto"/>
        <w:ind w:firstLine="480" w:firstLineChars="200"/>
        <w:rPr>
          <w:rFonts w:hint="eastAsia" w:ascii="宋体" w:hAnsi="宋体" w:eastAsia="宋体"/>
          <w:kern w:val="0"/>
          <w:sz w:val="24"/>
          <w:szCs w:val="20"/>
          <w:lang w:eastAsia="zh-CN"/>
        </w:rPr>
      </w:pPr>
      <w:r>
        <w:rPr>
          <w:rFonts w:hint="eastAsia" w:hAnsi="宋体"/>
          <w:sz w:val="24"/>
          <w:lang w:eastAsia="zh-CN"/>
        </w:rPr>
        <w:t>（</w:t>
      </w:r>
      <w:r>
        <w:rPr>
          <w:rFonts w:hint="eastAsia" w:hAnsi="宋体"/>
          <w:sz w:val="24"/>
          <w:lang w:val="en-US" w:eastAsia="zh-CN"/>
        </w:rPr>
        <w:t>1</w:t>
      </w:r>
      <w:r>
        <w:rPr>
          <w:rFonts w:hint="eastAsia" w:hAnsi="宋体"/>
          <w:sz w:val="24"/>
          <w:lang w:eastAsia="zh-CN"/>
        </w:rPr>
        <w:t>）</w:t>
      </w:r>
      <w:r>
        <w:rPr>
          <w:rFonts w:hint="eastAsia" w:ascii="宋体" w:hAnsi="宋体"/>
          <w:kern w:val="0"/>
          <w:sz w:val="24"/>
          <w:szCs w:val="20"/>
        </w:rPr>
        <w:t>按照《建筑工程施工质量统一验收标准》GB50300-2013内相关要求进行验收</w:t>
      </w:r>
      <w:r>
        <w:rPr>
          <w:rFonts w:hint="eastAsia" w:ascii="宋体" w:hAnsi="宋体"/>
          <w:kern w:val="0"/>
          <w:sz w:val="24"/>
          <w:szCs w:val="20"/>
          <w:lang w:eastAsia="zh-CN"/>
        </w:rPr>
        <w:t>；</w:t>
      </w:r>
    </w:p>
    <w:p>
      <w:pPr>
        <w:pStyle w:val="2"/>
        <w:spacing w:line="360" w:lineRule="auto"/>
        <w:ind w:firstLine="480" w:firstLineChars="200"/>
        <w:rPr>
          <w:rFonts w:ascii="宋体" w:hAnsi="宋体"/>
          <w:kern w:val="0"/>
          <w:sz w:val="24"/>
          <w:szCs w:val="20"/>
        </w:rPr>
      </w:pPr>
      <w:r>
        <w:rPr>
          <w:rFonts w:hint="eastAsia" w:hAnsi="宋体"/>
          <w:sz w:val="24"/>
          <w:lang w:eastAsia="zh-CN"/>
        </w:rPr>
        <w:t>（</w:t>
      </w:r>
      <w:r>
        <w:rPr>
          <w:rFonts w:hint="eastAsia" w:hAnsi="宋体"/>
          <w:sz w:val="24"/>
          <w:lang w:val="en-US" w:eastAsia="zh-CN"/>
        </w:rPr>
        <w:t>2</w:t>
      </w:r>
      <w:r>
        <w:rPr>
          <w:rFonts w:hint="eastAsia" w:hAnsi="宋体"/>
          <w:sz w:val="24"/>
          <w:lang w:eastAsia="zh-CN"/>
        </w:rPr>
        <w:t>）</w:t>
      </w:r>
      <w:r>
        <w:rPr>
          <w:rFonts w:hint="eastAsia" w:ascii="宋体" w:hAnsi="宋体"/>
          <w:kern w:val="0"/>
          <w:sz w:val="24"/>
          <w:szCs w:val="20"/>
        </w:rPr>
        <w:t xml:space="preserve">工程质量要求：一次性验收 </w:t>
      </w:r>
      <w:r>
        <w:rPr>
          <w:rFonts w:hint="eastAsia" w:ascii="宋体" w:hAnsi="宋体"/>
          <w:kern w:val="0"/>
          <w:sz w:val="24"/>
          <w:szCs w:val="20"/>
          <w:u w:val="single"/>
        </w:rPr>
        <w:t>合格</w:t>
      </w:r>
      <w:r>
        <w:rPr>
          <w:rFonts w:hint="eastAsia" w:ascii="宋体" w:hAnsi="宋体"/>
          <w:kern w:val="0"/>
          <w:sz w:val="24"/>
          <w:szCs w:val="20"/>
        </w:rPr>
        <w:t>。</w:t>
      </w:r>
    </w:p>
    <w:p>
      <w:pPr>
        <w:spacing w:line="360" w:lineRule="auto"/>
        <w:ind w:firstLine="482" w:firstLineChars="200"/>
        <w:rPr>
          <w:rFonts w:hint="eastAsia" w:hAnsi="宋体"/>
          <w:b w:val="0"/>
          <w:bCs w:val="0"/>
          <w:color w:val="000000" w:themeColor="text1"/>
          <w:sz w:val="24"/>
          <w:lang w:eastAsia="zh-CN"/>
          <w14:textFill>
            <w14:solidFill>
              <w14:schemeClr w14:val="tx1"/>
            </w14:solidFill>
          </w14:textFill>
        </w:rPr>
      </w:pPr>
      <w:r>
        <w:rPr>
          <w:rFonts w:hint="eastAsia" w:hAnsi="宋体"/>
          <w:b/>
          <w:bCs/>
          <w:sz w:val="24"/>
          <w:lang w:val="en-US" w:eastAsia="zh-CN"/>
        </w:rPr>
        <w:t>四</w:t>
      </w:r>
      <w:r>
        <w:rPr>
          <w:rFonts w:hint="eastAsia" w:hAnsi="宋体"/>
          <w:b/>
          <w:bCs/>
          <w:sz w:val="24"/>
          <w:lang w:eastAsia="zh-CN"/>
        </w:rPr>
        <w:t>、</w:t>
      </w:r>
      <w:r>
        <w:rPr>
          <w:rFonts w:hint="eastAsia" w:hAnsi="宋体"/>
          <w:b/>
          <w:bCs/>
          <w:sz w:val="24"/>
        </w:rPr>
        <w:t>施工工期：</w:t>
      </w:r>
      <w:r>
        <w:rPr>
          <w:rFonts w:hint="eastAsia" w:hAnsi="宋体"/>
          <w:b w:val="0"/>
          <w:bCs w:val="0"/>
          <w:color w:val="000000" w:themeColor="text1"/>
          <w:sz w:val="24"/>
          <w:lang w:val="en-US" w:eastAsia="zh-CN"/>
          <w14:textFill>
            <w14:solidFill>
              <w14:schemeClr w14:val="tx1"/>
            </w14:solidFill>
          </w14:textFill>
        </w:rPr>
        <w:t>2</w:t>
      </w:r>
      <w:r>
        <w:rPr>
          <w:rFonts w:hint="eastAsia" w:hAnsi="宋体"/>
          <w:b w:val="0"/>
          <w:bCs w:val="0"/>
          <w:color w:val="000000" w:themeColor="text1"/>
          <w:sz w:val="24"/>
          <w14:textFill>
            <w14:solidFill>
              <w14:schemeClr w14:val="tx1"/>
            </w14:solidFill>
          </w14:textFill>
        </w:rPr>
        <w:t>0日历天（具体开工日期以甲方通知为准）</w:t>
      </w:r>
      <w:r>
        <w:rPr>
          <w:rFonts w:hint="eastAsia" w:hAnsi="宋体"/>
          <w:b w:val="0"/>
          <w:bCs w:val="0"/>
          <w:color w:val="000000" w:themeColor="text1"/>
          <w:sz w:val="24"/>
          <w:lang w:eastAsia="zh-CN"/>
          <w14:textFill>
            <w14:solidFill>
              <w14:schemeClr w14:val="tx1"/>
            </w14:solidFill>
          </w14:textFill>
        </w:rPr>
        <w:t>。</w:t>
      </w:r>
    </w:p>
    <w:p>
      <w:pPr>
        <w:pStyle w:val="2"/>
        <w:rPr>
          <w:rFonts w:hint="eastAsia"/>
          <w:lang w:eastAsia="zh-CN"/>
        </w:rPr>
      </w:pPr>
    </w:p>
    <w:p>
      <w:pPr>
        <w:pStyle w:val="2"/>
        <w:ind w:firstLine="482" w:firstLineChars="200"/>
        <w:rPr>
          <w:rFonts w:hint="default" w:ascii="宋体" w:hAnsi="宋体" w:eastAsia="宋体" w:cs="Times New Roman"/>
          <w:b/>
          <w:bCs/>
          <w:kern w:val="0"/>
          <w:sz w:val="24"/>
          <w:szCs w:val="20"/>
          <w:lang w:val="en-US" w:eastAsia="zh-CN" w:bidi="ar-SA"/>
        </w:rPr>
      </w:pPr>
      <w:r>
        <w:rPr>
          <w:rFonts w:hint="eastAsia" w:ascii="宋体" w:hAnsi="宋体" w:cs="Times New Roman"/>
          <w:b/>
          <w:bCs/>
          <w:kern w:val="0"/>
          <w:sz w:val="24"/>
          <w:szCs w:val="20"/>
          <w:lang w:val="en-US" w:eastAsia="zh-CN" w:bidi="ar-SA"/>
        </w:rPr>
        <w:t>五</w:t>
      </w:r>
      <w:r>
        <w:rPr>
          <w:rFonts w:hint="eastAsia" w:ascii="宋体" w:hAnsi="宋体" w:eastAsia="宋体" w:cs="Times New Roman"/>
          <w:b/>
          <w:bCs/>
          <w:kern w:val="0"/>
          <w:sz w:val="24"/>
          <w:szCs w:val="20"/>
          <w:lang w:val="en-US" w:eastAsia="zh-CN" w:bidi="ar-SA"/>
        </w:rPr>
        <w:t>、</w:t>
      </w:r>
      <w:r>
        <w:rPr>
          <w:rFonts w:hint="eastAsia" w:ascii="宋体" w:hAnsi="宋体" w:cs="Times New Roman"/>
          <w:b/>
          <w:bCs/>
          <w:kern w:val="0"/>
          <w:sz w:val="24"/>
          <w:szCs w:val="20"/>
          <w:lang w:val="en-US" w:eastAsia="zh-CN" w:bidi="ar-SA"/>
        </w:rPr>
        <w:t>甲方提供材料列表</w:t>
      </w:r>
    </w:p>
    <w:tbl>
      <w:tblPr>
        <w:tblStyle w:val="17"/>
        <w:tblW w:w="10342" w:type="dxa"/>
        <w:tblInd w:w="96" w:type="dxa"/>
        <w:tblLayout w:type="fixed"/>
        <w:tblCellMar>
          <w:top w:w="0" w:type="dxa"/>
          <w:left w:w="108" w:type="dxa"/>
          <w:bottom w:w="0" w:type="dxa"/>
          <w:right w:w="108" w:type="dxa"/>
        </w:tblCellMar>
      </w:tblPr>
      <w:tblGrid>
        <w:gridCol w:w="635"/>
        <w:gridCol w:w="2010"/>
        <w:gridCol w:w="6185"/>
        <w:gridCol w:w="774"/>
        <w:gridCol w:w="738"/>
      </w:tblGrid>
      <w:tr>
        <w:tblPrEx>
          <w:tblCellMar>
            <w:top w:w="0" w:type="dxa"/>
            <w:left w:w="108" w:type="dxa"/>
            <w:bottom w:w="0" w:type="dxa"/>
            <w:right w:w="108" w:type="dxa"/>
          </w:tblCellMar>
        </w:tblPrEx>
        <w:trPr>
          <w:trHeight w:val="315" w:hRule="atLeast"/>
        </w:trPr>
        <w:tc>
          <w:tcPr>
            <w:tcW w:w="63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hAnsi="宋体" w:cs="宋体"/>
                <w:b/>
                <w:bCs/>
                <w:sz w:val="24"/>
                <w:szCs w:val="24"/>
              </w:rPr>
            </w:pPr>
            <w:r>
              <w:rPr>
                <w:rFonts w:hint="eastAsia" w:hAnsi="宋体" w:cs="宋体"/>
                <w:b/>
                <w:bCs/>
                <w:sz w:val="24"/>
                <w:szCs w:val="24"/>
              </w:rPr>
              <w:t>序号</w:t>
            </w:r>
          </w:p>
        </w:tc>
        <w:tc>
          <w:tcPr>
            <w:tcW w:w="2010" w:type="dxa"/>
            <w:tcBorders>
              <w:top w:val="single" w:color="000000" w:sz="8" w:space="0"/>
              <w:left w:val="nil"/>
              <w:bottom w:val="nil"/>
              <w:right w:val="single" w:color="000000" w:sz="8" w:space="0"/>
            </w:tcBorders>
            <w:shd w:val="clear" w:color="auto" w:fill="auto"/>
            <w:vAlign w:val="center"/>
          </w:tcPr>
          <w:p>
            <w:pPr>
              <w:widowControl/>
              <w:jc w:val="center"/>
              <w:textAlignment w:val="center"/>
              <w:rPr>
                <w:rFonts w:hAnsi="宋体" w:cs="宋体"/>
                <w:b/>
                <w:bCs/>
                <w:sz w:val="24"/>
                <w:szCs w:val="24"/>
              </w:rPr>
            </w:pPr>
            <w:r>
              <w:rPr>
                <w:rFonts w:hint="eastAsia" w:hAnsi="宋体" w:cs="宋体"/>
                <w:b/>
                <w:bCs/>
                <w:sz w:val="24"/>
                <w:szCs w:val="24"/>
              </w:rPr>
              <w:t>产品名称</w:t>
            </w:r>
          </w:p>
        </w:tc>
        <w:tc>
          <w:tcPr>
            <w:tcW w:w="6185" w:type="dxa"/>
            <w:tcBorders>
              <w:top w:val="single" w:color="000000" w:sz="8" w:space="0"/>
              <w:left w:val="nil"/>
              <w:bottom w:val="nil"/>
              <w:right w:val="single" w:color="000000" w:sz="8" w:space="0"/>
            </w:tcBorders>
            <w:shd w:val="clear" w:color="auto" w:fill="auto"/>
            <w:vAlign w:val="center"/>
          </w:tcPr>
          <w:p>
            <w:pPr>
              <w:widowControl/>
              <w:jc w:val="center"/>
              <w:textAlignment w:val="center"/>
              <w:rPr>
                <w:rFonts w:hAnsi="宋体" w:cs="宋体"/>
                <w:b/>
                <w:bCs/>
                <w:sz w:val="24"/>
                <w:szCs w:val="24"/>
              </w:rPr>
            </w:pPr>
            <w:r>
              <w:rPr>
                <w:rFonts w:hint="eastAsia" w:hAnsi="宋体" w:cs="宋体"/>
                <w:b/>
                <w:bCs/>
                <w:sz w:val="24"/>
                <w:szCs w:val="24"/>
              </w:rPr>
              <w:t>产品参数</w:t>
            </w:r>
          </w:p>
        </w:tc>
        <w:tc>
          <w:tcPr>
            <w:tcW w:w="774" w:type="dxa"/>
            <w:tcBorders>
              <w:top w:val="single" w:color="000000" w:sz="8" w:space="0"/>
              <w:left w:val="nil"/>
              <w:bottom w:val="nil"/>
              <w:right w:val="single" w:color="000000" w:sz="8" w:space="0"/>
            </w:tcBorders>
            <w:shd w:val="clear" w:color="auto" w:fill="auto"/>
            <w:vAlign w:val="center"/>
          </w:tcPr>
          <w:p>
            <w:pPr>
              <w:widowControl/>
              <w:jc w:val="center"/>
              <w:textAlignment w:val="center"/>
              <w:rPr>
                <w:rFonts w:hAnsi="宋体" w:cs="宋体"/>
                <w:b/>
                <w:bCs/>
                <w:sz w:val="24"/>
                <w:szCs w:val="24"/>
              </w:rPr>
            </w:pPr>
            <w:r>
              <w:rPr>
                <w:rFonts w:hint="eastAsia" w:hAnsi="宋体" w:cs="宋体"/>
                <w:b/>
                <w:bCs/>
                <w:sz w:val="24"/>
                <w:szCs w:val="24"/>
              </w:rPr>
              <w:t>数量</w:t>
            </w:r>
          </w:p>
        </w:tc>
        <w:tc>
          <w:tcPr>
            <w:tcW w:w="738" w:type="dxa"/>
            <w:tcBorders>
              <w:top w:val="single" w:color="000000" w:sz="8" w:space="0"/>
              <w:left w:val="nil"/>
              <w:bottom w:val="nil"/>
              <w:right w:val="single" w:color="000000" w:sz="8" w:space="0"/>
            </w:tcBorders>
            <w:shd w:val="clear" w:color="auto" w:fill="auto"/>
            <w:vAlign w:val="center"/>
          </w:tcPr>
          <w:p>
            <w:pPr>
              <w:widowControl/>
              <w:jc w:val="center"/>
              <w:textAlignment w:val="center"/>
              <w:rPr>
                <w:rFonts w:hAnsi="宋体" w:cs="宋体"/>
                <w:b/>
                <w:bCs/>
                <w:sz w:val="24"/>
                <w:szCs w:val="24"/>
              </w:rPr>
            </w:pPr>
            <w:r>
              <w:rPr>
                <w:rFonts w:hint="eastAsia" w:hAnsi="宋体" w:cs="宋体"/>
                <w:b/>
                <w:bCs/>
                <w:sz w:val="24"/>
                <w:szCs w:val="24"/>
              </w:rPr>
              <w:t>单位</w:t>
            </w:r>
          </w:p>
        </w:tc>
      </w:tr>
      <w:tr>
        <w:tblPrEx>
          <w:tblCellMar>
            <w:top w:w="0" w:type="dxa"/>
            <w:left w:w="108" w:type="dxa"/>
            <w:bottom w:w="0" w:type="dxa"/>
            <w:right w:w="108" w:type="dxa"/>
          </w:tblCellMar>
        </w:tblPrEx>
        <w:trPr>
          <w:trHeight w:val="31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室外消火栓</w:t>
            </w:r>
          </w:p>
        </w:tc>
        <w:tc>
          <w:tcPr>
            <w:tcW w:w="6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sz w:val="21"/>
                <w:szCs w:val="21"/>
              </w:rPr>
              <w:t>普通型DN100(1.6mpa)，材质为灰铸铁HT200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17</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具</w:t>
            </w:r>
          </w:p>
        </w:tc>
      </w:tr>
      <w:tr>
        <w:tblPrEx>
          <w:tblCellMar>
            <w:top w:w="0" w:type="dxa"/>
            <w:left w:w="108" w:type="dxa"/>
            <w:bottom w:w="0" w:type="dxa"/>
            <w:right w:w="108" w:type="dxa"/>
          </w:tblCellMar>
        </w:tblPrEx>
        <w:trPr>
          <w:trHeight w:val="31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水泵接合器</w:t>
            </w:r>
          </w:p>
        </w:tc>
        <w:tc>
          <w:tcPr>
            <w:tcW w:w="6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sz w:val="21"/>
                <w:szCs w:val="21"/>
              </w:rPr>
              <w:t>地下式DN100(1.6mpa)，材质为灰铸铁HT200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8</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具</w:t>
            </w:r>
          </w:p>
        </w:tc>
      </w:tr>
      <w:tr>
        <w:tblPrEx>
          <w:tblCellMar>
            <w:top w:w="0" w:type="dxa"/>
            <w:left w:w="108" w:type="dxa"/>
            <w:bottom w:w="0" w:type="dxa"/>
            <w:right w:w="108" w:type="dxa"/>
          </w:tblCellMar>
        </w:tblPrEx>
        <w:trPr>
          <w:trHeight w:val="31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水泵接合器</w:t>
            </w:r>
          </w:p>
        </w:tc>
        <w:tc>
          <w:tcPr>
            <w:tcW w:w="6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sz w:val="21"/>
                <w:szCs w:val="21"/>
              </w:rPr>
              <w:t>地上式DN100(1.6mpa)，材质为灰铸铁HT200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6</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具</w:t>
            </w:r>
          </w:p>
        </w:tc>
      </w:tr>
      <w:tr>
        <w:tblPrEx>
          <w:tblCellMar>
            <w:top w:w="0" w:type="dxa"/>
            <w:left w:w="108" w:type="dxa"/>
            <w:bottom w:w="0" w:type="dxa"/>
            <w:right w:w="108" w:type="dxa"/>
          </w:tblCellMar>
        </w:tblPrEx>
        <w:trPr>
          <w:trHeight w:val="31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消声止回阀</w:t>
            </w:r>
          </w:p>
        </w:tc>
        <w:tc>
          <w:tcPr>
            <w:tcW w:w="6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sz w:val="21"/>
                <w:szCs w:val="21"/>
              </w:rPr>
              <w:t>DN100(1.6mpa)，材质为灰铸铁HT200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8</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个</w:t>
            </w:r>
          </w:p>
        </w:tc>
      </w:tr>
      <w:tr>
        <w:tblPrEx>
          <w:tblCellMar>
            <w:top w:w="0" w:type="dxa"/>
            <w:left w:w="108" w:type="dxa"/>
            <w:bottom w:w="0" w:type="dxa"/>
            <w:right w:w="108" w:type="dxa"/>
          </w:tblCellMar>
        </w:tblPrEx>
        <w:trPr>
          <w:trHeight w:val="36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软密封闸阀</w:t>
            </w:r>
          </w:p>
        </w:tc>
        <w:tc>
          <w:tcPr>
            <w:tcW w:w="6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sz w:val="21"/>
                <w:szCs w:val="21"/>
              </w:rPr>
              <w:t>DN100(1.6mpa)，材质为灰铸铁HT200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31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个</w:t>
            </w:r>
          </w:p>
        </w:tc>
      </w:tr>
      <w:tr>
        <w:tblPrEx>
          <w:tblCellMar>
            <w:top w:w="0" w:type="dxa"/>
            <w:left w:w="108" w:type="dxa"/>
            <w:bottom w:w="0" w:type="dxa"/>
            <w:right w:w="108" w:type="dxa"/>
          </w:tblCellMar>
        </w:tblPrEx>
        <w:trPr>
          <w:trHeight w:val="31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对夹蝶阀</w:t>
            </w:r>
          </w:p>
        </w:tc>
        <w:tc>
          <w:tcPr>
            <w:tcW w:w="6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sz w:val="21"/>
                <w:szCs w:val="21"/>
              </w:rPr>
              <w:t>DN150(1.6mpa)，材质为灰铸铁HT200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6</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个</w:t>
            </w:r>
          </w:p>
        </w:tc>
      </w:tr>
      <w:tr>
        <w:tblPrEx>
          <w:tblCellMar>
            <w:top w:w="0" w:type="dxa"/>
            <w:left w:w="108" w:type="dxa"/>
            <w:bottom w:w="0" w:type="dxa"/>
            <w:right w:w="108" w:type="dxa"/>
          </w:tblCellMar>
        </w:tblPrEx>
        <w:trPr>
          <w:trHeight w:val="31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对夹蝶阀</w:t>
            </w:r>
          </w:p>
        </w:tc>
        <w:tc>
          <w:tcPr>
            <w:tcW w:w="6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sz w:val="21"/>
                <w:szCs w:val="21"/>
              </w:rPr>
              <w:t>DN100(1.6mpa)，材质为灰铸铁HT200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10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个</w:t>
            </w:r>
          </w:p>
        </w:tc>
      </w:tr>
      <w:tr>
        <w:tblPrEx>
          <w:tblCellMar>
            <w:top w:w="0" w:type="dxa"/>
            <w:left w:w="108" w:type="dxa"/>
            <w:bottom w:w="0" w:type="dxa"/>
            <w:right w:w="108" w:type="dxa"/>
          </w:tblCellMar>
        </w:tblPrEx>
        <w:trPr>
          <w:trHeight w:val="31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16*60螺栓螺帽</w:t>
            </w:r>
          </w:p>
        </w:tc>
        <w:tc>
          <w:tcPr>
            <w:tcW w:w="6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sz w:val="21"/>
                <w:szCs w:val="21"/>
              </w:rPr>
              <w:t>DN16*60mm，材质为</w:t>
            </w:r>
            <w:r>
              <w:rPr>
                <w:rFonts w:hint="eastAsia" w:hAnsi="宋体"/>
                <w:sz w:val="21"/>
                <w:szCs w:val="21"/>
              </w:rPr>
              <w:t>铸造铜合金ZCuZn38</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352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套</w:t>
            </w:r>
          </w:p>
        </w:tc>
      </w:tr>
      <w:tr>
        <w:tblPrEx>
          <w:tblCellMar>
            <w:top w:w="0" w:type="dxa"/>
            <w:left w:w="108" w:type="dxa"/>
            <w:bottom w:w="0" w:type="dxa"/>
            <w:right w:w="108" w:type="dxa"/>
          </w:tblCellMar>
        </w:tblPrEx>
        <w:trPr>
          <w:trHeight w:val="31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9</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16*80螺栓螺帽</w:t>
            </w:r>
          </w:p>
        </w:tc>
        <w:tc>
          <w:tcPr>
            <w:tcW w:w="6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sz w:val="21"/>
                <w:szCs w:val="21"/>
              </w:rPr>
              <w:t>DN16*80mm，材质为</w:t>
            </w:r>
            <w:r>
              <w:rPr>
                <w:rFonts w:hint="eastAsia" w:hAnsi="宋体"/>
                <w:sz w:val="21"/>
                <w:szCs w:val="21"/>
              </w:rPr>
              <w:t>铸造铜合金ZCuZn38</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248</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套</w:t>
            </w:r>
          </w:p>
        </w:tc>
      </w:tr>
      <w:tr>
        <w:tblPrEx>
          <w:tblCellMar>
            <w:top w:w="0" w:type="dxa"/>
            <w:left w:w="108" w:type="dxa"/>
            <w:bottom w:w="0" w:type="dxa"/>
            <w:right w:w="108" w:type="dxa"/>
          </w:tblCellMar>
        </w:tblPrEx>
        <w:trPr>
          <w:trHeight w:val="31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10</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16*120螺栓螺帽</w:t>
            </w:r>
          </w:p>
        </w:tc>
        <w:tc>
          <w:tcPr>
            <w:tcW w:w="6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sz w:val="21"/>
                <w:szCs w:val="21"/>
              </w:rPr>
              <w:t>DN16*120mm，材质为</w:t>
            </w:r>
            <w:r>
              <w:rPr>
                <w:rFonts w:hint="eastAsia" w:hAnsi="宋体"/>
                <w:sz w:val="21"/>
                <w:szCs w:val="21"/>
              </w:rPr>
              <w:t>铸造铜合金ZCuZn38</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120</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套</w:t>
            </w:r>
          </w:p>
        </w:tc>
      </w:tr>
      <w:tr>
        <w:tblPrEx>
          <w:tblCellMar>
            <w:top w:w="0" w:type="dxa"/>
            <w:left w:w="108" w:type="dxa"/>
            <w:bottom w:w="0" w:type="dxa"/>
            <w:right w:w="108" w:type="dxa"/>
          </w:tblCellMar>
        </w:tblPrEx>
        <w:trPr>
          <w:trHeight w:val="31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11</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弯头（90°）</w:t>
            </w:r>
          </w:p>
        </w:tc>
        <w:tc>
          <w:tcPr>
            <w:tcW w:w="6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sz w:val="21"/>
                <w:szCs w:val="21"/>
              </w:rPr>
              <w:t>DN100，材质为灰铸铁HT200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34</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个</w:t>
            </w:r>
          </w:p>
        </w:tc>
      </w:tr>
      <w:tr>
        <w:tblPrEx>
          <w:tblCellMar>
            <w:top w:w="0" w:type="dxa"/>
            <w:left w:w="108" w:type="dxa"/>
            <w:bottom w:w="0" w:type="dxa"/>
            <w:right w:w="108" w:type="dxa"/>
          </w:tblCellMar>
        </w:tblPrEx>
        <w:trPr>
          <w:trHeight w:val="289"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12</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钢卡箍</w:t>
            </w:r>
          </w:p>
        </w:tc>
        <w:tc>
          <w:tcPr>
            <w:tcW w:w="6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sz w:val="21"/>
                <w:szCs w:val="21"/>
              </w:rPr>
              <w:t>DN100，材质为灰不锈钢</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34</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个</w:t>
            </w:r>
          </w:p>
        </w:tc>
      </w:tr>
      <w:tr>
        <w:tblPrEx>
          <w:tblCellMar>
            <w:top w:w="0" w:type="dxa"/>
            <w:left w:w="108" w:type="dxa"/>
            <w:bottom w:w="0" w:type="dxa"/>
            <w:right w:w="108" w:type="dxa"/>
          </w:tblCellMar>
        </w:tblPrEx>
        <w:trPr>
          <w:trHeight w:val="31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13</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PE管</w:t>
            </w:r>
          </w:p>
        </w:tc>
        <w:tc>
          <w:tcPr>
            <w:tcW w:w="6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sz w:val="21"/>
                <w:szCs w:val="21"/>
              </w:rPr>
              <w:t>DN100，材质为聚乙烯</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30</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米</w:t>
            </w:r>
          </w:p>
        </w:tc>
      </w:tr>
      <w:tr>
        <w:tblPrEx>
          <w:tblCellMar>
            <w:top w:w="0" w:type="dxa"/>
            <w:left w:w="108" w:type="dxa"/>
            <w:bottom w:w="0" w:type="dxa"/>
            <w:right w:w="108" w:type="dxa"/>
          </w:tblCellMar>
        </w:tblPrEx>
        <w:trPr>
          <w:trHeight w:val="31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14</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消防箱体</w:t>
            </w:r>
          </w:p>
        </w:tc>
        <w:tc>
          <w:tcPr>
            <w:tcW w:w="6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sz w:val="21"/>
                <w:szCs w:val="21"/>
              </w:rPr>
              <w:t>800mm*650mm，</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sz w:val="21"/>
                <w:szCs w:val="21"/>
              </w:rPr>
            </w:pPr>
            <w:r>
              <w:rPr>
                <w:rFonts w:hint="eastAsia"/>
                <w:sz w:val="21"/>
                <w:szCs w:val="21"/>
              </w:rPr>
              <w:t>个</w:t>
            </w:r>
          </w:p>
        </w:tc>
      </w:tr>
    </w:tbl>
    <w:p>
      <w:pPr>
        <w:spacing w:line="360" w:lineRule="auto"/>
        <w:ind w:firstLine="482" w:firstLineChars="200"/>
        <w:rPr>
          <w:rFonts w:hAnsi="宋体"/>
          <w:b/>
          <w:bCs/>
          <w:sz w:val="24"/>
        </w:rPr>
      </w:pPr>
    </w:p>
    <w:p>
      <w:pPr>
        <w:spacing w:line="360" w:lineRule="auto"/>
        <w:ind w:firstLine="482" w:firstLineChars="200"/>
        <w:rPr>
          <w:rFonts w:hint="eastAsia" w:hAnsi="宋体"/>
          <w:b/>
          <w:bCs/>
          <w:sz w:val="24"/>
        </w:rPr>
      </w:pPr>
      <w:r>
        <w:rPr>
          <w:rFonts w:hint="eastAsia" w:hAnsi="宋体"/>
          <w:b/>
          <w:bCs/>
          <w:sz w:val="24"/>
          <w:lang w:val="en-US" w:eastAsia="zh-CN"/>
        </w:rPr>
        <w:t>六</w:t>
      </w:r>
      <w:r>
        <w:rPr>
          <w:rFonts w:hint="eastAsia" w:hAnsi="宋体"/>
          <w:b/>
          <w:bCs/>
          <w:sz w:val="24"/>
          <w:lang w:eastAsia="zh-CN"/>
        </w:rPr>
        <w:t>、</w:t>
      </w:r>
      <w:r>
        <w:rPr>
          <w:rFonts w:hint="eastAsia" w:hAnsi="宋体"/>
          <w:b/>
          <w:bCs/>
          <w:sz w:val="24"/>
        </w:rPr>
        <w:t>报价包含人工费、材料费及材料运输费（</w:t>
      </w:r>
      <w:r>
        <w:rPr>
          <w:rFonts w:hint="eastAsia" w:hAnsi="宋体"/>
          <w:b/>
          <w:bCs/>
          <w:sz w:val="24"/>
          <w:lang w:val="en-US" w:eastAsia="zh-CN"/>
        </w:rPr>
        <w:t>除甲方提供材料列表以外的其他</w:t>
      </w:r>
      <w:r>
        <w:rPr>
          <w:rFonts w:hint="eastAsia" w:hAnsi="宋体"/>
          <w:b/>
          <w:bCs/>
          <w:sz w:val="24"/>
        </w:rPr>
        <w:t>全部材料）、机械使用费、利润及税费等所有费用。</w:t>
      </w:r>
    </w:p>
    <w:p>
      <w:pPr>
        <w:pStyle w:val="2"/>
      </w:pPr>
    </w:p>
    <w:p>
      <w:pPr>
        <w:spacing w:line="312" w:lineRule="exact"/>
        <w:rPr>
          <w:sz w:val="21"/>
        </w:rPr>
      </w:pPr>
    </w:p>
    <w:p>
      <w:pPr>
        <w:pStyle w:val="2"/>
      </w:pPr>
    </w:p>
    <w:p>
      <w:pPr>
        <w:sectPr>
          <w:pgSz w:w="11910" w:h="16840"/>
          <w:pgMar w:top="1300" w:right="720" w:bottom="1580" w:left="840" w:header="900" w:footer="1386" w:gutter="0"/>
          <w:cols w:space="720" w:num="1"/>
        </w:sectPr>
      </w:pPr>
    </w:p>
    <w:p>
      <w:pPr>
        <w:spacing w:line="360" w:lineRule="auto"/>
        <w:jc w:val="center"/>
        <w:rPr>
          <w:rFonts w:hAnsi="宋体" w:cs="宋体"/>
          <w:sz w:val="36"/>
          <w:szCs w:val="36"/>
        </w:rPr>
      </w:pPr>
      <w:r>
        <w:rPr>
          <w:rFonts w:hint="eastAsia" w:hAnsi="宋体" w:cs="宋体"/>
          <w:b/>
          <w:bCs/>
          <w:sz w:val="36"/>
          <w:szCs w:val="36"/>
        </w:rPr>
        <w:t xml:space="preserve">第五章 </w:t>
      </w:r>
      <w:r>
        <w:rPr>
          <w:rFonts w:hAnsi="宋体" w:cs="宋体"/>
          <w:b/>
          <w:bCs/>
          <w:sz w:val="36"/>
          <w:szCs w:val="36"/>
        </w:rPr>
        <w:t xml:space="preserve"> </w:t>
      </w:r>
      <w:r>
        <w:rPr>
          <w:rFonts w:hint="eastAsia" w:hAnsi="宋体" w:cs="宋体"/>
          <w:b/>
          <w:bCs/>
          <w:sz w:val="36"/>
          <w:szCs w:val="36"/>
        </w:rPr>
        <w:t>响应文件格式</w:t>
      </w:r>
    </w:p>
    <w:p>
      <w:pPr>
        <w:pStyle w:val="5"/>
        <w:spacing w:before="0" w:after="0" w:line="360" w:lineRule="auto"/>
        <w:jc w:val="center"/>
        <w:rPr>
          <w:rFonts w:ascii="宋体" w:hAnsi="宋体" w:eastAsia="宋体" w:cs="宋体"/>
        </w:rPr>
      </w:pPr>
      <w:r>
        <w:rPr>
          <w:rFonts w:hint="eastAsia" w:ascii="宋体" w:hAnsi="宋体" w:eastAsia="宋体" w:cs="宋体"/>
        </w:rPr>
        <w:t>一、法定代表人授权书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四川信息职业技术学院：</w:t>
      </w:r>
    </w:p>
    <w:p>
      <w:pPr>
        <w:spacing w:line="360" w:lineRule="auto"/>
        <w:ind w:firstLine="480" w:firstLineChars="200"/>
        <w:rPr>
          <w:rFonts w:hAnsi="宋体" w:cs="宋体"/>
          <w:sz w:val="24"/>
        </w:rPr>
      </w:pPr>
      <w:r>
        <w:rPr>
          <w:rFonts w:hint="eastAsia" w:hAnsi="宋体" w:cs="宋体"/>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pPr>
        <w:spacing w:line="360" w:lineRule="auto"/>
        <w:ind w:firstLine="480" w:firstLineChars="200"/>
        <w:rPr>
          <w:rFonts w:hAnsi="宋体" w:cs="宋体"/>
          <w:sz w:val="24"/>
        </w:rPr>
      </w:pPr>
      <w:r>
        <w:rPr>
          <w:rFonts w:hint="eastAsia" w:hAnsi="宋体" w:cs="宋体"/>
          <w:sz w:val="24"/>
        </w:rPr>
        <w:t>特此声明。</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供应商名称：XXX（盖单位公章）</w:t>
      </w:r>
    </w:p>
    <w:p>
      <w:pPr>
        <w:spacing w:line="360" w:lineRule="auto"/>
        <w:ind w:firstLine="480" w:firstLineChars="200"/>
        <w:rPr>
          <w:rFonts w:hAnsi="宋体" w:cs="宋体"/>
          <w:sz w:val="24"/>
        </w:rPr>
      </w:pPr>
      <w:r>
        <w:rPr>
          <w:rFonts w:hint="eastAsia" w:hAnsi="宋体" w:cs="宋体"/>
          <w:sz w:val="24"/>
        </w:rPr>
        <w:t>法定代表人（签字或盖章）：XXX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被授权人签字：XXX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日    期：XXX年XXX月XXX日</w:t>
      </w:r>
    </w:p>
    <w:p>
      <w:pPr>
        <w:spacing w:line="360" w:lineRule="auto"/>
        <w:rPr>
          <w:rFonts w:hAnsi="宋体" w:cs="宋体"/>
          <w:sz w:val="32"/>
        </w:rPr>
      </w:pPr>
    </w:p>
    <w:p>
      <w:pPr>
        <w:spacing w:line="360" w:lineRule="auto"/>
        <w:ind w:firstLine="480" w:firstLineChars="200"/>
        <w:rPr>
          <w:rFonts w:hAnsi="宋体" w:cs="宋体"/>
          <w:sz w:val="24"/>
        </w:rPr>
      </w:pPr>
      <w:r>
        <w:rPr>
          <w:rFonts w:hint="eastAsia" w:hAnsi="宋体" w:cs="宋体"/>
          <w:sz w:val="24"/>
        </w:rPr>
        <w:t>附：法定代表人及授权代表身份证复印件并加盖公司鲜章。</w:t>
      </w:r>
    </w:p>
    <w:p>
      <w:pPr>
        <w:rPr>
          <w:rFonts w:hAnsi="宋体" w:cs="宋体"/>
        </w:rPr>
      </w:pPr>
      <w:r>
        <w:rPr>
          <w:rFonts w:hint="eastAsia" w:hAnsi="宋体" w:cs="宋体"/>
        </w:rPr>
        <w:br w:type="page"/>
      </w:r>
    </w:p>
    <w:p>
      <w:pPr>
        <w:pStyle w:val="5"/>
        <w:jc w:val="center"/>
        <w:rPr>
          <w:rFonts w:ascii="宋体" w:hAnsi="宋体" w:eastAsia="宋体" w:cs="宋体"/>
        </w:rPr>
      </w:pPr>
      <w:r>
        <w:rPr>
          <w:rFonts w:hint="eastAsia" w:ascii="宋体" w:hAnsi="宋体" w:eastAsia="宋体" w:cs="宋体"/>
        </w:rPr>
        <w:t>二、供应商基本情况表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10"/>
        <w:gridCol w:w="21"/>
        <w:gridCol w:w="1489"/>
        <w:gridCol w:w="1260"/>
        <w:gridCol w:w="900"/>
        <w:gridCol w:w="360"/>
        <w:gridCol w:w="90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供应商名称</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注册地址</w:t>
            </w:r>
          </w:p>
        </w:tc>
        <w:tc>
          <w:tcPr>
            <w:tcW w:w="4680" w:type="dxa"/>
            <w:gridSpan w:val="5"/>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邮政编码</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Ansi="宋体" w:cs="宋体"/>
                <w:bCs/>
                <w:sz w:val="21"/>
                <w:szCs w:val="21"/>
              </w:rPr>
            </w:pPr>
            <w:r>
              <w:rPr>
                <w:rFonts w:hint="eastAsia" w:hAnsi="宋体" w:cs="宋体"/>
                <w:bCs/>
                <w:sz w:val="21"/>
                <w:szCs w:val="21"/>
              </w:rPr>
              <w:t>联系方式</w:t>
            </w:r>
          </w:p>
        </w:tc>
        <w:tc>
          <w:tcPr>
            <w:tcW w:w="1010" w:type="dxa"/>
            <w:vAlign w:val="center"/>
          </w:tcPr>
          <w:p>
            <w:pPr>
              <w:jc w:val="center"/>
              <w:rPr>
                <w:rFonts w:hAnsi="宋体" w:cs="宋体"/>
                <w:bCs/>
                <w:sz w:val="21"/>
                <w:szCs w:val="21"/>
              </w:rPr>
            </w:pPr>
            <w:r>
              <w:rPr>
                <w:rFonts w:hint="eastAsia" w:hAnsi="宋体" w:cs="宋体"/>
                <w:bCs/>
                <w:sz w:val="21"/>
                <w:szCs w:val="21"/>
              </w:rPr>
              <w:t>联系人</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Ansi="宋体" w:cs="宋体"/>
                <w:bCs/>
                <w:sz w:val="21"/>
                <w:szCs w:val="21"/>
              </w:rPr>
            </w:pPr>
          </w:p>
        </w:tc>
        <w:tc>
          <w:tcPr>
            <w:tcW w:w="1010" w:type="dxa"/>
            <w:vAlign w:val="center"/>
          </w:tcPr>
          <w:p>
            <w:pPr>
              <w:jc w:val="center"/>
              <w:rPr>
                <w:rFonts w:hAnsi="宋体" w:cs="宋体"/>
                <w:bCs/>
                <w:sz w:val="21"/>
                <w:szCs w:val="21"/>
              </w:rPr>
            </w:pPr>
            <w:r>
              <w:rPr>
                <w:rFonts w:hint="eastAsia" w:hAnsi="宋体" w:cs="宋体"/>
                <w:bCs/>
                <w:sz w:val="21"/>
                <w:szCs w:val="21"/>
              </w:rPr>
              <w:t>传真</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网址</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组织结构</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法定代表人</w:t>
            </w:r>
          </w:p>
        </w:tc>
        <w:tc>
          <w:tcPr>
            <w:tcW w:w="1031" w:type="dxa"/>
            <w:gridSpan w:val="2"/>
            <w:vAlign w:val="center"/>
          </w:tcPr>
          <w:p>
            <w:pPr>
              <w:jc w:val="center"/>
              <w:rPr>
                <w:rFonts w:hAnsi="宋体" w:cs="宋体"/>
                <w:bCs/>
                <w:sz w:val="21"/>
                <w:szCs w:val="21"/>
              </w:rPr>
            </w:pPr>
            <w:r>
              <w:rPr>
                <w:rFonts w:hint="eastAsia" w:hAnsi="宋体" w:cs="宋体"/>
                <w:bCs/>
                <w:sz w:val="21"/>
                <w:szCs w:val="21"/>
              </w:rPr>
              <w:t>姓名</w:t>
            </w:r>
          </w:p>
        </w:tc>
        <w:tc>
          <w:tcPr>
            <w:tcW w:w="1489" w:type="dxa"/>
            <w:vAlign w:val="center"/>
          </w:tcPr>
          <w:p>
            <w:pPr>
              <w:jc w:val="center"/>
              <w:rPr>
                <w:rFonts w:hAnsi="宋体" w:cs="宋体"/>
                <w:bCs/>
                <w:sz w:val="21"/>
                <w:szCs w:val="21"/>
              </w:rPr>
            </w:pPr>
          </w:p>
        </w:tc>
        <w:tc>
          <w:tcPr>
            <w:tcW w:w="1260" w:type="dxa"/>
            <w:vAlign w:val="center"/>
          </w:tcPr>
          <w:p>
            <w:pPr>
              <w:jc w:val="center"/>
              <w:rPr>
                <w:rFonts w:hAnsi="宋体" w:cs="宋体"/>
                <w:bCs/>
                <w:sz w:val="21"/>
                <w:szCs w:val="21"/>
              </w:rPr>
            </w:pPr>
            <w:r>
              <w:rPr>
                <w:rFonts w:hint="eastAsia" w:hAnsi="宋体" w:cs="宋体"/>
                <w:bCs/>
                <w:sz w:val="21"/>
                <w:szCs w:val="21"/>
              </w:rPr>
              <w:t>技术职称</w:t>
            </w:r>
          </w:p>
        </w:tc>
        <w:tc>
          <w:tcPr>
            <w:tcW w:w="1260" w:type="dxa"/>
            <w:gridSpan w:val="2"/>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260" w:type="dxa"/>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成立时间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营业执照</w:t>
            </w:r>
            <w:r>
              <w:rPr>
                <w:rFonts w:hint="eastAsia" w:hAnsi="宋体" w:cs="宋体"/>
                <w:sz w:val="21"/>
                <w:szCs w:val="21"/>
              </w:rPr>
              <w:t>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注册资金</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开户银行</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账号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经营范围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备注</w:t>
            </w:r>
          </w:p>
        </w:tc>
        <w:tc>
          <w:tcPr>
            <w:tcW w:w="7560" w:type="dxa"/>
            <w:gridSpan w:val="9"/>
            <w:vAlign w:val="center"/>
          </w:tcPr>
          <w:p>
            <w:pPr>
              <w:jc w:val="center"/>
              <w:rPr>
                <w:rFonts w:hAnsi="宋体" w:cs="宋体"/>
                <w:bCs/>
                <w:sz w:val="21"/>
                <w:szCs w:val="21"/>
              </w:rPr>
            </w:pPr>
          </w:p>
        </w:tc>
      </w:tr>
    </w:tbl>
    <w:p>
      <w:pPr>
        <w:adjustRightInd w:val="0"/>
        <w:spacing w:line="400" w:lineRule="exact"/>
        <w:jc w:val="left"/>
        <w:rPr>
          <w:rFonts w:hAnsi="宋体" w:cs="宋体"/>
          <w:sz w:val="24"/>
        </w:rPr>
      </w:pPr>
    </w:p>
    <w:p>
      <w:pPr>
        <w:adjustRightInd w:val="0"/>
        <w:spacing w:line="360" w:lineRule="auto"/>
        <w:jc w:val="left"/>
        <w:rPr>
          <w:rFonts w:hAnsi="宋体" w:cs="宋体"/>
          <w:sz w:val="24"/>
        </w:rPr>
      </w:pPr>
      <w:r>
        <w:rPr>
          <w:rFonts w:hint="eastAsia" w:hAnsi="宋体" w:cs="宋体"/>
          <w:sz w:val="24"/>
        </w:rPr>
        <w:t>供应商名称：XXX（盖单位公章）</w:t>
      </w:r>
    </w:p>
    <w:p>
      <w:pPr>
        <w:adjustRightInd w:val="0"/>
        <w:spacing w:line="360" w:lineRule="auto"/>
        <w:jc w:val="left"/>
        <w:rPr>
          <w:rFonts w:hAnsi="宋体" w:cs="宋体"/>
          <w:bCs/>
          <w:sz w:val="24"/>
        </w:rPr>
      </w:pPr>
      <w:r>
        <w:rPr>
          <w:rFonts w:hint="eastAsia" w:hAnsi="宋体" w:cs="宋体"/>
          <w:bCs/>
          <w:sz w:val="24"/>
        </w:rPr>
        <w:t>法定代表人或授权代表（签字或盖章）：XXX</w:t>
      </w:r>
    </w:p>
    <w:p>
      <w:pPr>
        <w:adjustRightInd w:val="0"/>
        <w:spacing w:line="360" w:lineRule="auto"/>
        <w:jc w:val="left"/>
        <w:rPr>
          <w:rFonts w:hAnsi="宋体" w:cs="宋体"/>
          <w:bCs/>
          <w:sz w:val="24"/>
        </w:rPr>
      </w:pPr>
      <w:r>
        <w:rPr>
          <w:rFonts w:hint="eastAsia" w:hAnsi="宋体" w:cs="宋体"/>
          <w:bCs/>
          <w:sz w:val="24"/>
        </w:rPr>
        <w:t>日  期：XXX年XXX月XXX日</w:t>
      </w:r>
    </w:p>
    <w:p>
      <w:pPr>
        <w:spacing w:line="360" w:lineRule="auto"/>
        <w:jc w:val="center"/>
        <w:rPr>
          <w:rFonts w:hAnsi="宋体" w:cs="Calibri"/>
          <w:b/>
          <w:bCs/>
          <w:sz w:val="32"/>
          <w:szCs w:val="32"/>
        </w:rPr>
      </w:pPr>
    </w:p>
    <w:p>
      <w:pPr>
        <w:pStyle w:val="5"/>
        <w:spacing w:line="400" w:lineRule="exact"/>
        <w:rPr>
          <w:rFonts w:ascii="宋体" w:hAnsi="宋体" w:eastAsia="宋体" w:cs="宋体"/>
        </w:rPr>
      </w:pPr>
    </w:p>
    <w:p>
      <w:pPr>
        <w:rPr>
          <w:rFonts w:hAnsi="宋体" w:cs="宋体"/>
        </w:rPr>
      </w:pPr>
      <w:r>
        <w:rPr>
          <w:rFonts w:hint="eastAsia" w:hAnsi="宋体" w:cs="宋体"/>
        </w:rPr>
        <w:br w:type="page"/>
      </w:r>
    </w:p>
    <w:p>
      <w:pPr>
        <w:pStyle w:val="5"/>
        <w:jc w:val="center"/>
        <w:rPr>
          <w:rFonts w:ascii="宋体" w:hAnsi="宋体" w:eastAsia="宋体" w:cs="宋体"/>
        </w:rPr>
      </w:pPr>
      <w:r>
        <w:rPr>
          <w:rFonts w:hint="eastAsia" w:ascii="宋体" w:hAnsi="宋体" w:eastAsia="宋体" w:cs="宋体"/>
        </w:rPr>
        <w:t>三、报价一览表</w:t>
      </w:r>
    </w:p>
    <w:tbl>
      <w:tblPr>
        <w:tblStyle w:val="17"/>
        <w:tblW w:w="0" w:type="auto"/>
        <w:jc w:val="center"/>
        <w:tblLayout w:type="fixed"/>
        <w:tblCellMar>
          <w:top w:w="0" w:type="dxa"/>
          <w:left w:w="108" w:type="dxa"/>
          <w:bottom w:w="0" w:type="dxa"/>
          <w:right w:w="108" w:type="dxa"/>
        </w:tblCellMar>
      </w:tblPr>
      <w:tblGrid>
        <w:gridCol w:w="1449"/>
        <w:gridCol w:w="7026"/>
      </w:tblGrid>
      <w:tr>
        <w:tblPrEx>
          <w:tblCellMar>
            <w:top w:w="0" w:type="dxa"/>
            <w:left w:w="108" w:type="dxa"/>
            <w:bottom w:w="0" w:type="dxa"/>
            <w:right w:w="108" w:type="dxa"/>
          </w:tblCellMar>
        </w:tblPrEx>
        <w:trPr>
          <w:trHeight w:val="506"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项目名称</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p>
        </w:tc>
      </w:tr>
      <w:tr>
        <w:tblPrEx>
          <w:tblCellMar>
            <w:top w:w="0" w:type="dxa"/>
            <w:left w:w="108" w:type="dxa"/>
            <w:bottom w:w="0" w:type="dxa"/>
            <w:right w:w="108" w:type="dxa"/>
          </w:tblCellMar>
        </w:tblPrEx>
        <w:trPr>
          <w:trHeight w:val="443"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项目编号</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p>
        </w:tc>
      </w:tr>
      <w:tr>
        <w:tblPrEx>
          <w:tblCellMar>
            <w:top w:w="0" w:type="dxa"/>
            <w:left w:w="108" w:type="dxa"/>
            <w:bottom w:w="0" w:type="dxa"/>
            <w:right w:w="108" w:type="dxa"/>
          </w:tblCellMar>
        </w:tblPrEx>
        <w:trPr>
          <w:trHeight w:val="1271"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rPr>
            </w:pPr>
            <w:r>
              <w:rPr>
                <w:rFonts w:hint="eastAsia" w:hAnsi="宋体" w:cs="宋体"/>
                <w:bCs/>
                <w:sz w:val="24"/>
              </w:rPr>
              <w:t>报价合计</w:t>
            </w:r>
          </w:p>
        </w:tc>
        <w:tc>
          <w:tcPr>
            <w:tcW w:w="7026" w:type="dxa"/>
            <w:tcBorders>
              <w:top w:val="single" w:color="auto" w:sz="4" w:space="0"/>
              <w:left w:val="nil"/>
              <w:bottom w:val="single" w:color="auto" w:sz="4" w:space="0"/>
              <w:right w:val="single" w:color="auto" w:sz="4" w:space="0"/>
            </w:tcBorders>
            <w:vAlign w:val="center"/>
          </w:tcPr>
          <w:p>
            <w:pPr>
              <w:rPr>
                <w:rFonts w:hAnsi="宋体" w:cs="宋体"/>
                <w:b/>
                <w:sz w:val="24"/>
              </w:rPr>
            </w:pPr>
            <w:r>
              <w:rPr>
                <w:rFonts w:hint="eastAsia" w:hAnsi="宋体" w:cs="宋体"/>
                <w:b/>
                <w:bCs/>
                <w:sz w:val="24"/>
              </w:rPr>
              <w:t>人民币大写：                        （小写：           ）</w:t>
            </w:r>
          </w:p>
        </w:tc>
      </w:tr>
      <w:tr>
        <w:tblPrEx>
          <w:tblCellMar>
            <w:top w:w="0" w:type="dxa"/>
            <w:left w:w="108" w:type="dxa"/>
            <w:bottom w:w="0" w:type="dxa"/>
            <w:right w:w="108" w:type="dxa"/>
          </w:tblCellMar>
        </w:tblPrEx>
        <w:trPr>
          <w:trHeight w:val="1271" w:hRule="atLeast"/>
          <w:jc w:val="center"/>
        </w:trPr>
        <w:tc>
          <w:tcPr>
            <w:tcW w:w="84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Ansi="宋体" w:cs="宋体"/>
                <w:b/>
                <w:bCs/>
                <w:sz w:val="24"/>
              </w:rPr>
            </w:pPr>
            <w:r>
              <w:rPr>
                <w:rFonts w:hint="eastAsia" w:hAnsi="宋体" w:cs="宋体"/>
                <w:sz w:val="24"/>
              </w:rPr>
              <w:t>备注：</w:t>
            </w:r>
          </w:p>
        </w:tc>
      </w:tr>
    </w:tbl>
    <w:p>
      <w:pPr>
        <w:pStyle w:val="6"/>
        <w:spacing w:before="100" w:beforeAutospacing="1" w:line="360" w:lineRule="auto"/>
        <w:ind w:firstLine="0" w:firstLineChars="0"/>
        <w:rPr>
          <w:rFonts w:hAnsi="宋体" w:cs="宋体"/>
          <w:sz w:val="24"/>
        </w:rPr>
      </w:pPr>
      <w:r>
        <w:rPr>
          <w:rFonts w:hint="eastAsia" w:hAnsi="宋体" w:cs="宋体"/>
          <w:b/>
          <w:sz w:val="24"/>
        </w:rPr>
        <w:t>注：</w:t>
      </w:r>
      <w:r>
        <w:rPr>
          <w:rFonts w:hint="eastAsia" w:hAnsi="宋体" w:cs="宋体"/>
          <w:sz w:val="24"/>
        </w:rPr>
        <w:t>1、报价应是最终用户验收合格后的总价，是供应商</w:t>
      </w:r>
      <w:r>
        <w:rPr>
          <w:rFonts w:hint="eastAsia" w:ascii="宋体" w:hAnsi="宋体" w:cs="宋体"/>
          <w:sz w:val="24"/>
          <w:lang w:val="zh-TW"/>
        </w:rPr>
        <w:t>相应</w:t>
      </w:r>
      <w:r>
        <w:rPr>
          <w:rFonts w:hint="eastAsia" w:ascii="宋体" w:hAnsi="宋体" w:cs="宋体"/>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int="eastAsia" w:hAnsi="宋体" w:cs="宋体"/>
          <w:sz w:val="24"/>
        </w:rPr>
        <w:t>供应商</w:t>
      </w:r>
      <w:r>
        <w:rPr>
          <w:rFonts w:hint="eastAsia" w:ascii="宋体" w:hAnsi="宋体" w:cs="宋体"/>
          <w:sz w:val="24"/>
          <w:lang w:val="zh-TW" w:eastAsia="zh-TW"/>
        </w:rPr>
        <w:t>只允许有一个报价，并且在合同履行过程中是固定不变的，任何有选择或可调整的报价将不予接受，并按无效</w:t>
      </w:r>
      <w:r>
        <w:rPr>
          <w:rFonts w:hint="eastAsia" w:hAnsi="宋体" w:cs="宋体"/>
          <w:sz w:val="24"/>
        </w:rPr>
        <w:t>相应</w:t>
      </w:r>
      <w:r>
        <w:rPr>
          <w:rFonts w:hint="eastAsia" w:ascii="宋体" w:hAnsi="宋体" w:cs="宋体"/>
          <w:sz w:val="24"/>
          <w:lang w:val="zh-TW" w:eastAsia="zh-TW"/>
        </w:rPr>
        <w:t>处理。</w:t>
      </w:r>
    </w:p>
    <w:p>
      <w:pPr>
        <w:spacing w:line="360" w:lineRule="auto"/>
        <w:ind w:firstLine="480" w:firstLineChars="200"/>
        <w:jc w:val="left"/>
        <w:rPr>
          <w:rFonts w:hAnsi="宋体" w:cs="宋体"/>
          <w:b/>
          <w:bCs/>
          <w:sz w:val="24"/>
          <w:szCs w:val="24"/>
        </w:rPr>
      </w:pPr>
      <w:r>
        <w:rPr>
          <w:rFonts w:hint="eastAsia" w:hAnsi="宋体" w:cs="宋体"/>
          <w:sz w:val="24"/>
        </w:rPr>
        <w:t>2、以上表格如不能完全表达清楚供应商认为必要的费用明细，供应商可自行补充。</w:t>
      </w:r>
    </w:p>
    <w:p>
      <w:pPr>
        <w:adjustRightInd w:val="0"/>
        <w:spacing w:line="360" w:lineRule="auto"/>
        <w:jc w:val="left"/>
        <w:rPr>
          <w:rFonts w:hAnsi="宋体" w:cs="宋体"/>
          <w:sz w:val="24"/>
          <w:szCs w:val="24"/>
        </w:rPr>
      </w:pPr>
    </w:p>
    <w:p>
      <w:pPr>
        <w:adjustRightInd w:val="0"/>
        <w:spacing w:line="360" w:lineRule="auto"/>
        <w:jc w:val="left"/>
        <w:rPr>
          <w:rFonts w:hAnsi="宋体" w:cs="宋体"/>
          <w:sz w:val="24"/>
          <w:szCs w:val="24"/>
        </w:rPr>
      </w:pPr>
    </w:p>
    <w:p>
      <w:pPr>
        <w:adjustRightInd w:val="0"/>
        <w:spacing w:line="360" w:lineRule="auto"/>
        <w:ind w:firstLine="480" w:firstLineChars="200"/>
        <w:jc w:val="left"/>
        <w:rPr>
          <w:rFonts w:hAnsi="宋体"/>
          <w:sz w:val="24"/>
        </w:rPr>
      </w:pPr>
      <w:r>
        <w:rPr>
          <w:rFonts w:hint="eastAsia" w:hAnsi="宋体"/>
          <w:sz w:val="24"/>
        </w:rPr>
        <w:t>供应商名称：XXX（盖单位公章）</w:t>
      </w:r>
    </w:p>
    <w:p>
      <w:pPr>
        <w:adjustRightInd w:val="0"/>
        <w:spacing w:line="360" w:lineRule="auto"/>
        <w:ind w:firstLine="480" w:firstLineChars="200"/>
        <w:jc w:val="left"/>
        <w:rPr>
          <w:bCs/>
          <w:sz w:val="24"/>
        </w:rPr>
      </w:pPr>
      <w:r>
        <w:rPr>
          <w:rFonts w:hint="eastAsia"/>
          <w:bCs/>
          <w:sz w:val="24"/>
        </w:rPr>
        <w:t>法定代表人/单位负责人或授权代表（签字或盖章）：XXX</w:t>
      </w:r>
    </w:p>
    <w:p>
      <w:pPr>
        <w:adjustRightInd w:val="0"/>
        <w:spacing w:line="360" w:lineRule="auto"/>
        <w:ind w:firstLine="480" w:firstLineChars="200"/>
        <w:jc w:val="left"/>
        <w:rPr>
          <w:bCs/>
          <w:sz w:val="24"/>
        </w:rPr>
      </w:pPr>
      <w:r>
        <w:rPr>
          <w:rFonts w:hint="eastAsia"/>
          <w:bCs/>
          <w:sz w:val="24"/>
        </w:rPr>
        <w:t>日  期：XXX年XXX月XXX日</w:t>
      </w:r>
    </w:p>
    <w:p>
      <w:pPr>
        <w:pStyle w:val="10"/>
        <w:spacing w:line="360" w:lineRule="auto"/>
      </w:pPr>
    </w:p>
    <w:p>
      <w:pPr>
        <w:widowControl/>
        <w:jc w:val="left"/>
        <w:rPr>
          <w:rFonts w:hAnsi="宋体" w:cs="宋体"/>
        </w:rPr>
      </w:pPr>
      <w:r>
        <w:rPr>
          <w:rFonts w:hAnsi="宋体" w:cs="宋体"/>
        </w:rPr>
        <w:br w:type="page"/>
      </w:r>
    </w:p>
    <w:p>
      <w:pPr>
        <w:pStyle w:val="5"/>
        <w:jc w:val="center"/>
        <w:rPr>
          <w:rFonts w:ascii="宋体" w:hAnsi="宋体" w:eastAsia="宋体" w:cs="宋体"/>
        </w:rPr>
      </w:pPr>
      <w:r>
        <w:rPr>
          <w:rFonts w:hint="eastAsia" w:ascii="宋体" w:hAnsi="宋体" w:eastAsia="宋体" w:cs="宋体"/>
        </w:rPr>
        <w:t>四、承诺函</w:t>
      </w:r>
    </w:p>
    <w:p>
      <w:pPr>
        <w:spacing w:line="400" w:lineRule="exact"/>
        <w:ind w:firstLine="562" w:firstLineChars="200"/>
        <w:jc w:val="center"/>
        <w:rPr>
          <w:rFonts w:hAnsi="宋体" w:cs="宋体"/>
          <w:b/>
          <w:sz w:val="28"/>
          <w:szCs w:val="28"/>
        </w:rPr>
      </w:pPr>
    </w:p>
    <w:p>
      <w:pPr>
        <w:spacing w:line="360" w:lineRule="auto"/>
        <w:rPr>
          <w:rFonts w:hAnsi="宋体" w:cs="宋体"/>
          <w:sz w:val="24"/>
        </w:rPr>
      </w:pPr>
      <w:r>
        <w:rPr>
          <w:rFonts w:hint="eastAsia" w:hAnsi="宋体" w:cs="宋体"/>
          <w:sz w:val="24"/>
        </w:rPr>
        <w:t>四川信息职业技术学院：</w:t>
      </w:r>
    </w:p>
    <w:p>
      <w:pPr>
        <w:spacing w:line="360" w:lineRule="auto"/>
        <w:ind w:firstLine="480" w:firstLineChars="200"/>
        <w:rPr>
          <w:rFonts w:hAnsi="宋体" w:cs="宋体"/>
          <w:sz w:val="24"/>
        </w:rPr>
      </w:pPr>
      <w:r>
        <w:rPr>
          <w:rFonts w:hint="eastAsia" w:hAnsi="宋体" w:cs="宋体"/>
          <w:sz w:val="24"/>
        </w:rPr>
        <w:t>我公司作为本次询价项目的供应商，根据询价通知书要求，现郑重承诺如下：</w:t>
      </w:r>
    </w:p>
    <w:p>
      <w:pPr>
        <w:spacing w:line="360" w:lineRule="auto"/>
        <w:ind w:firstLine="480" w:firstLineChars="200"/>
        <w:rPr>
          <w:rFonts w:hAnsi="宋体" w:cs="宋体"/>
          <w:sz w:val="24"/>
        </w:rPr>
      </w:pPr>
      <w:r>
        <w:rPr>
          <w:rFonts w:hint="eastAsia" w:hAnsi="宋体" w:cs="宋体"/>
          <w:sz w:val="24"/>
        </w:rPr>
        <w:t xml:space="preserve">一、具备《中华人民共和国政府采购法》第二十二条第一款和本项目规定的条件： </w:t>
      </w:r>
    </w:p>
    <w:p>
      <w:pPr>
        <w:spacing w:line="360" w:lineRule="auto"/>
        <w:ind w:firstLine="480" w:firstLineChars="200"/>
        <w:rPr>
          <w:rFonts w:hAnsi="宋体" w:cs="宋体"/>
          <w:sz w:val="24"/>
        </w:rPr>
      </w:pPr>
      <w:r>
        <w:rPr>
          <w:rFonts w:hint="eastAsia" w:hAnsi="宋体" w:cs="宋体"/>
          <w:sz w:val="24"/>
        </w:rPr>
        <w:t>（一）具有独立承担民事责任的能力；</w:t>
      </w:r>
    </w:p>
    <w:p>
      <w:pPr>
        <w:spacing w:line="360" w:lineRule="auto"/>
        <w:ind w:firstLine="480" w:firstLineChars="200"/>
        <w:rPr>
          <w:rFonts w:hAnsi="宋体" w:cs="宋体"/>
          <w:sz w:val="24"/>
        </w:rPr>
      </w:pPr>
      <w:r>
        <w:rPr>
          <w:rFonts w:hint="eastAsia" w:hAnsi="宋体" w:cs="宋体"/>
          <w:sz w:val="24"/>
        </w:rPr>
        <w:t>（二）具有良好的商业信誉和健全的财务会计制度；</w:t>
      </w:r>
    </w:p>
    <w:p>
      <w:pPr>
        <w:spacing w:line="360" w:lineRule="auto"/>
        <w:ind w:firstLine="480" w:firstLineChars="200"/>
        <w:rPr>
          <w:rFonts w:hAnsi="宋体" w:cs="宋体"/>
          <w:sz w:val="24"/>
        </w:rPr>
      </w:pPr>
      <w:r>
        <w:rPr>
          <w:rFonts w:hint="eastAsia" w:hAnsi="宋体" w:cs="宋体"/>
          <w:sz w:val="24"/>
        </w:rPr>
        <w:t>（三）具有履行合同所必需的设备和专业技术能力；</w:t>
      </w:r>
    </w:p>
    <w:p>
      <w:pPr>
        <w:spacing w:line="360" w:lineRule="auto"/>
        <w:ind w:firstLine="480" w:firstLineChars="200"/>
        <w:rPr>
          <w:rFonts w:hAnsi="宋体" w:cs="宋体"/>
          <w:sz w:val="24"/>
        </w:rPr>
      </w:pPr>
      <w:r>
        <w:rPr>
          <w:rFonts w:hint="eastAsia" w:hAnsi="宋体" w:cs="宋体"/>
          <w:sz w:val="24"/>
        </w:rPr>
        <w:t>（四）有依法缴纳税收和社会保障资金的良好记录；</w:t>
      </w:r>
    </w:p>
    <w:p>
      <w:pPr>
        <w:spacing w:line="360" w:lineRule="auto"/>
        <w:ind w:firstLine="480" w:firstLineChars="200"/>
        <w:rPr>
          <w:rFonts w:hAnsi="宋体" w:cs="宋体"/>
          <w:sz w:val="24"/>
        </w:rPr>
      </w:pPr>
      <w:r>
        <w:rPr>
          <w:rFonts w:hint="eastAsia" w:hAnsi="宋体" w:cs="宋体"/>
          <w:sz w:val="24"/>
        </w:rPr>
        <w:t>（五）参加采购活动前三年内，在经营活动中没有重大违法记录；</w:t>
      </w:r>
    </w:p>
    <w:p>
      <w:pPr>
        <w:pStyle w:val="2"/>
        <w:spacing w:after="0" w:line="360" w:lineRule="auto"/>
        <w:ind w:firstLine="480" w:firstLineChars="200"/>
        <w:rPr>
          <w:rFonts w:ascii="宋体" w:hAnsi="宋体" w:cs="宋体"/>
          <w:sz w:val="24"/>
        </w:rPr>
      </w:pPr>
      <w:r>
        <w:rPr>
          <w:rFonts w:hint="eastAsia" w:ascii="宋体" w:hAnsi="宋体" w:cs="宋体"/>
          <w:sz w:val="24"/>
        </w:rPr>
        <w:t>（六）法律、行政法规规定的其他条件。</w:t>
      </w:r>
    </w:p>
    <w:p>
      <w:pPr>
        <w:spacing w:line="360" w:lineRule="auto"/>
        <w:ind w:firstLine="480" w:firstLineChars="200"/>
        <w:rPr>
          <w:rFonts w:hAnsi="宋体" w:cs="宋体"/>
          <w:sz w:val="24"/>
        </w:rPr>
      </w:pPr>
      <w:r>
        <w:rPr>
          <w:rFonts w:hint="eastAsia" w:hAnsi="宋体" w:cs="宋体"/>
          <w:sz w:val="24"/>
        </w:rPr>
        <w:t>二、在参加本次采购活动中，不存在与单位负责人为同一人或者存在直接控股、管理关系的其他供应商参与同一合同项下的采购活动的行为。（实质性要求）</w:t>
      </w:r>
    </w:p>
    <w:p>
      <w:pPr>
        <w:spacing w:line="360" w:lineRule="auto"/>
        <w:ind w:firstLine="480" w:firstLineChars="200"/>
        <w:rPr>
          <w:rFonts w:hAnsi="宋体" w:cs="宋体"/>
          <w:sz w:val="24"/>
        </w:rPr>
      </w:pPr>
      <w:r>
        <w:rPr>
          <w:rFonts w:hint="eastAsia" w:hAnsi="宋体" w:cs="宋体"/>
          <w:sz w:val="24"/>
        </w:rPr>
        <w:t>三、在参加本次采购活动中，不存在和其他供应商在同一合同项下的采购项目中，同时委托同一个自然人、同一家庭的人员、同一单位的人员作为代理人的行为。（实质性要求）</w:t>
      </w:r>
    </w:p>
    <w:p>
      <w:pPr>
        <w:spacing w:line="360" w:lineRule="auto"/>
        <w:ind w:firstLine="480" w:firstLineChars="200"/>
        <w:rPr>
          <w:rFonts w:hAnsi="宋体" w:cs="宋体"/>
          <w:sz w:val="24"/>
        </w:rPr>
      </w:pPr>
      <w:r>
        <w:rPr>
          <w:rFonts w:hint="eastAsia" w:hAnsi="宋体" w:cs="宋体"/>
          <w:sz w:val="24"/>
        </w:rPr>
        <w:t>四、如果有规定的记入诚信档案的失信行为，将在响应文件中全面如实反映。（实质性要求）</w:t>
      </w:r>
    </w:p>
    <w:p>
      <w:pPr>
        <w:spacing w:line="360" w:lineRule="auto"/>
        <w:ind w:firstLine="480" w:firstLineChars="200"/>
        <w:rPr>
          <w:rFonts w:hAnsi="宋体" w:cs="宋体"/>
          <w:sz w:val="24"/>
        </w:rPr>
      </w:pPr>
      <w:r>
        <w:rPr>
          <w:rFonts w:hint="eastAsia" w:hAnsi="宋体" w:cs="宋体"/>
          <w:sz w:val="24"/>
        </w:rPr>
        <w:t>五、响应文件中提供的能够给予我公司带来优惠、好处的任何资料和技术、服务、商务等响应承诺情况都是真实的、有效的、合法的。（实质性要求）</w:t>
      </w:r>
    </w:p>
    <w:p>
      <w:pPr>
        <w:spacing w:line="360" w:lineRule="auto"/>
        <w:ind w:firstLine="480" w:firstLineChars="200"/>
        <w:rPr>
          <w:rFonts w:hAnsi="宋体" w:cs="宋体"/>
          <w:sz w:val="24"/>
        </w:rPr>
      </w:pPr>
      <w:r>
        <w:rPr>
          <w:rFonts w:hint="eastAsia" w:hAnsi="宋体" w:cs="宋体"/>
          <w:sz w:val="24"/>
        </w:rPr>
        <w:t>六、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pPr>
        <w:spacing w:line="360" w:lineRule="auto"/>
        <w:ind w:firstLine="480" w:firstLineChars="200"/>
        <w:rPr>
          <w:rFonts w:hAnsi="宋体" w:cs="宋体"/>
          <w:sz w:val="24"/>
        </w:rPr>
      </w:pPr>
      <w:r>
        <w:rPr>
          <w:rFonts w:hint="eastAsia" w:hAnsi="宋体" w:cs="宋体"/>
          <w:sz w:val="24"/>
        </w:rPr>
        <w:t>本公司对上述承诺的内容事项真实性负责。如经查实上述承诺的内容事项存在虚假，我公司愿意接受以提供虚假材料谋取成交的法律责任。</w:t>
      </w:r>
    </w:p>
    <w:p>
      <w:pPr>
        <w:pStyle w:val="2"/>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spacing w:line="360" w:lineRule="auto"/>
        <w:ind w:firstLine="480" w:firstLineChars="200"/>
        <w:rPr>
          <w:rFonts w:hAnsi="宋体" w:cs="宋体"/>
          <w:sz w:val="24"/>
        </w:rPr>
      </w:pPr>
      <w:r>
        <w:rPr>
          <w:rFonts w:hint="eastAsia" w:hAnsi="宋体" w:cs="宋体"/>
          <w:sz w:val="24"/>
        </w:rPr>
        <w:t>日  期：XXX年XXX月XXX日</w:t>
      </w:r>
      <w:r>
        <w:rPr>
          <w:rFonts w:hAnsi="宋体" w:cs="宋体"/>
        </w:rPr>
        <w:br w:type="page"/>
      </w:r>
    </w:p>
    <w:p>
      <w:pPr>
        <w:pStyle w:val="5"/>
        <w:jc w:val="center"/>
        <w:rPr>
          <w:rFonts w:ascii="宋体" w:hAnsi="宋体" w:eastAsia="宋体" w:cs="宋体"/>
        </w:rPr>
      </w:pPr>
      <w:r>
        <w:rPr>
          <w:rFonts w:hint="eastAsia" w:ascii="宋体" w:hAnsi="宋体" w:eastAsia="宋体" w:cs="宋体"/>
        </w:rPr>
        <w:t>五、</w:t>
      </w:r>
      <w:bookmarkStart w:id="27" w:name="_Toc16298"/>
      <w:r>
        <w:rPr>
          <w:rFonts w:hint="eastAsia" w:ascii="宋体" w:hAnsi="宋体" w:eastAsia="宋体" w:cs="宋体"/>
        </w:rPr>
        <w:t>无行贿犯罪记录承诺函</w:t>
      </w:r>
      <w:bookmarkEnd w:id="27"/>
    </w:p>
    <w:p>
      <w:pPr>
        <w:pStyle w:val="34"/>
        <w:spacing w:line="360" w:lineRule="auto"/>
        <w:ind w:firstLine="683"/>
        <w:jc w:val="both"/>
        <w:rPr>
          <w:rFonts w:ascii="宋体" w:hAnsi="宋体" w:eastAsia="宋体" w:cs="宋体"/>
          <w:color w:val="auto"/>
          <w:kern w:val="2"/>
          <w:u w:val="single"/>
        </w:rPr>
      </w:pPr>
    </w:p>
    <w:p>
      <w:pPr>
        <w:pStyle w:val="34"/>
        <w:spacing w:line="360" w:lineRule="auto"/>
        <w:jc w:val="both"/>
        <w:rPr>
          <w:rFonts w:ascii="宋体" w:hAnsi="宋体" w:eastAsia="宋体" w:cs="宋体"/>
          <w:color w:val="auto"/>
          <w:kern w:val="2"/>
        </w:rPr>
      </w:pPr>
      <w:r>
        <w:rPr>
          <w:rFonts w:hint="eastAsia" w:ascii="宋体" w:hAnsi="宋体" w:eastAsia="宋体" w:cs="宋体"/>
          <w:color w:val="auto"/>
          <w:kern w:val="2"/>
          <w:u w:val="single"/>
        </w:rPr>
        <w:t>四川信息职业技术学院</w:t>
      </w:r>
      <w:r>
        <w:rPr>
          <w:rFonts w:hint="eastAsia" w:ascii="宋体" w:hAnsi="宋体" w:eastAsia="宋体" w:cs="宋体"/>
          <w:color w:val="auto"/>
          <w:kern w:val="2"/>
        </w:rPr>
        <w:t>：</w:t>
      </w:r>
    </w:p>
    <w:p>
      <w:pPr>
        <w:pStyle w:val="34"/>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我公司作为本次采购项目的供应商，现作出如下承诺：</w:t>
      </w:r>
    </w:p>
    <w:p>
      <w:pPr>
        <w:pStyle w:val="34"/>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我公司（XXX）及现任法定代表人（XXX）在参加采购活动前三年内不具有行贿犯罪记录。</w:t>
      </w:r>
    </w:p>
    <w:p>
      <w:pPr>
        <w:pStyle w:val="34"/>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本公司对上述承诺的内容事项真实性负责。如经查实上述承诺的内容事项存在虚假，我公司愿意接受以提供虚假材料谋取成交追究法律责任。</w:t>
      </w:r>
    </w:p>
    <w:p>
      <w:pPr>
        <w:pStyle w:val="34"/>
        <w:spacing w:line="360" w:lineRule="auto"/>
        <w:ind w:firstLine="720" w:firstLineChars="300"/>
        <w:jc w:val="both"/>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pStyle w:val="34"/>
        <w:spacing w:line="360" w:lineRule="auto"/>
        <w:ind w:firstLine="480" w:firstLineChars="200"/>
        <w:jc w:val="both"/>
        <w:rPr>
          <w:rFonts w:ascii="宋体" w:hAnsi="宋体" w:eastAsia="宋体" w:cs="宋体"/>
          <w:color w:val="auto"/>
        </w:rPr>
      </w:pPr>
      <w:r>
        <w:rPr>
          <w:rFonts w:hint="eastAsia" w:hAnsi="宋体" w:cs="宋体"/>
          <w:color w:val="auto"/>
        </w:rPr>
        <w:t>日  期：XXX年XXX月XXX日</w:t>
      </w:r>
    </w:p>
    <w:p>
      <w:pPr>
        <w:pStyle w:val="34"/>
        <w:spacing w:line="360" w:lineRule="auto"/>
        <w:ind w:firstLine="720" w:firstLineChars="300"/>
        <w:jc w:val="both"/>
        <w:rPr>
          <w:rFonts w:ascii="宋体" w:hAnsi="宋体" w:eastAsia="宋体" w:cs="宋体"/>
          <w:color w:val="auto"/>
        </w:rPr>
      </w:pPr>
    </w:p>
    <w:p>
      <w:pPr>
        <w:widowControl/>
        <w:jc w:val="left"/>
        <w:rPr>
          <w:rFonts w:hAnsi="宋体" w:cs="宋体"/>
        </w:rPr>
      </w:pPr>
      <w:r>
        <w:rPr>
          <w:rFonts w:hAnsi="宋体" w:cs="宋体"/>
        </w:rPr>
        <w:br w:type="page"/>
      </w:r>
    </w:p>
    <w:p>
      <w:pPr>
        <w:pStyle w:val="5"/>
        <w:jc w:val="center"/>
        <w:rPr>
          <w:rFonts w:ascii="宋体" w:hAnsi="宋体" w:eastAsia="宋体" w:cs="宋体"/>
        </w:rPr>
      </w:pPr>
      <w:r>
        <w:rPr>
          <w:rFonts w:hint="eastAsia" w:ascii="宋体" w:hAnsi="宋体" w:eastAsia="宋体" w:cs="宋体"/>
        </w:rPr>
        <w:t>六、诚信情况承诺函</w:t>
      </w:r>
    </w:p>
    <w:p>
      <w:pPr>
        <w:pStyle w:val="3"/>
        <w:spacing w:before="0" w:after="0" w:line="360" w:lineRule="auto"/>
        <w:outlineLvl w:val="9"/>
        <w:rPr>
          <w:rFonts w:ascii="宋体" w:hAnsi="宋体" w:cs="宋体"/>
          <w:u w:val="single"/>
        </w:rPr>
      </w:pPr>
    </w:p>
    <w:p>
      <w:pPr>
        <w:adjustRightInd w:val="0"/>
        <w:spacing w:line="360" w:lineRule="auto"/>
        <w:jc w:val="left"/>
        <w:rPr>
          <w:rFonts w:hAnsi="宋体" w:cs="宋体"/>
          <w:sz w:val="24"/>
          <w:szCs w:val="24"/>
        </w:rPr>
      </w:pPr>
      <w:r>
        <w:rPr>
          <w:rFonts w:hint="eastAsia" w:hAnsi="宋体" w:cs="宋体"/>
          <w:sz w:val="24"/>
          <w:szCs w:val="24"/>
          <w:u w:val="single"/>
        </w:rPr>
        <w:t>四川信息职业技术学院：</w:t>
      </w:r>
    </w:p>
    <w:p>
      <w:pPr>
        <w:pStyle w:val="34"/>
        <w:spacing w:line="360" w:lineRule="auto"/>
        <w:ind w:firstLine="482"/>
        <w:rPr>
          <w:rFonts w:ascii="宋体" w:hAnsi="宋体" w:eastAsia="宋体" w:cs="宋体"/>
          <w:color w:val="auto"/>
        </w:rPr>
      </w:pPr>
      <w:r>
        <w:rPr>
          <w:rFonts w:hint="eastAsia" w:ascii="宋体" w:hAnsi="宋体" w:eastAsia="宋体" w:cs="宋体"/>
          <w:color w:val="auto"/>
        </w:rPr>
        <w:t>本单位</w:t>
      </w:r>
      <w:r>
        <w:rPr>
          <w:rFonts w:hint="eastAsia" w:ascii="宋体" w:hAnsi="宋体" w:eastAsia="宋体" w:cs="宋体"/>
          <w:color w:val="auto"/>
          <w:u w:val="single"/>
        </w:rPr>
        <w:t xml:space="preserve">               </w:t>
      </w:r>
      <w:r>
        <w:rPr>
          <w:rFonts w:hint="eastAsia" w:ascii="宋体" w:hAnsi="宋体" w:eastAsia="宋体" w:cs="宋体"/>
          <w:color w:val="auto"/>
        </w:rPr>
        <w:t>（供应商名称）参加本次</w:t>
      </w:r>
      <w:r>
        <w:rPr>
          <w:rFonts w:hint="eastAsia" w:ascii="宋体" w:hAnsi="宋体" w:eastAsia="宋体" w:cs="宋体"/>
          <w:color w:val="auto"/>
          <w:u w:val="single"/>
        </w:rPr>
        <w:t xml:space="preserve">               </w:t>
      </w:r>
      <w:r>
        <w:rPr>
          <w:rFonts w:hint="eastAsia" w:ascii="宋体" w:hAnsi="宋体" w:eastAsia="宋体" w:cs="宋体"/>
          <w:color w:val="auto"/>
        </w:rPr>
        <w:t>项目（项目编号：</w:t>
      </w:r>
      <w:r>
        <w:rPr>
          <w:rFonts w:hint="eastAsia" w:ascii="宋体" w:hAnsi="宋体" w:eastAsia="宋体" w:cs="宋体"/>
          <w:color w:val="auto"/>
          <w:u w:val="single"/>
        </w:rPr>
        <w:t xml:space="preserve">               </w:t>
      </w:r>
      <w:r>
        <w:rPr>
          <w:rFonts w:hint="eastAsia" w:ascii="宋体" w:hAnsi="宋体" w:eastAsia="宋体" w:cs="宋体"/>
          <w:color w:val="auto"/>
        </w:rPr>
        <w:t>）的采购活动，现根据相关规定，针对本单位的诚信情况作出以下承诺：</w:t>
      </w:r>
    </w:p>
    <w:p>
      <w:pPr>
        <w:pStyle w:val="34"/>
        <w:spacing w:line="360" w:lineRule="auto"/>
        <w:ind w:firstLine="482"/>
        <w:rPr>
          <w:rFonts w:ascii="宋体" w:hAnsi="宋体" w:eastAsia="宋体" w:cs="宋体"/>
          <w:color w:val="auto"/>
        </w:rPr>
      </w:pPr>
      <w:r>
        <w:rPr>
          <w:rFonts w:hint="eastAsia" w:ascii="宋体" w:hAnsi="宋体" w:eastAsia="宋体" w:cs="宋体"/>
          <w:color w:val="auto"/>
        </w:rPr>
        <w:t>我单位具有所规定的失信行为</w:t>
      </w:r>
      <w:r>
        <w:rPr>
          <w:rFonts w:hint="eastAsia" w:ascii="宋体" w:hAnsi="宋体" w:eastAsia="宋体" w:cs="宋体"/>
          <w:color w:val="auto"/>
          <w:u w:val="single"/>
        </w:rPr>
        <w:t xml:space="preserve">     </w:t>
      </w:r>
      <w:r>
        <w:rPr>
          <w:rFonts w:hint="eastAsia" w:ascii="宋体" w:hAnsi="宋体" w:eastAsia="宋体" w:cs="宋体"/>
          <w:color w:val="auto"/>
        </w:rPr>
        <w:t>次。（填写失信行为的次数时，建议使用大写数字，如零、壹、贰、叁、肆等。）；（仅限投标截止当日仍在有效期的次数）</w:t>
      </w:r>
    </w:p>
    <w:p>
      <w:pPr>
        <w:pStyle w:val="34"/>
        <w:spacing w:line="360" w:lineRule="auto"/>
        <w:ind w:firstLine="482"/>
        <w:rPr>
          <w:rFonts w:ascii="宋体" w:hAnsi="宋体" w:eastAsia="宋体" w:cs="宋体"/>
          <w:color w:val="auto"/>
        </w:rPr>
      </w:pPr>
      <w:r>
        <w:rPr>
          <w:rFonts w:hint="eastAsia" w:ascii="宋体" w:hAnsi="宋体" w:eastAsia="宋体" w:cs="宋体"/>
          <w:color w:val="auto"/>
        </w:rPr>
        <w:t>我单位对以上填写信息的真实性负责，如有不实，本单位愿意承担由此产生的一切法律责任和后果。</w:t>
      </w:r>
    </w:p>
    <w:p>
      <w:pPr>
        <w:pStyle w:val="34"/>
        <w:spacing w:line="360" w:lineRule="auto"/>
        <w:ind w:firstLine="482"/>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widowControl/>
        <w:ind w:firstLine="480" w:firstLineChars="200"/>
        <w:jc w:val="left"/>
        <w:rPr>
          <w:rFonts w:hAnsi="宋体" w:cs="宋体"/>
        </w:rPr>
      </w:pPr>
      <w:r>
        <w:rPr>
          <w:rFonts w:hint="eastAsia" w:hAnsi="宋体" w:cs="宋体"/>
          <w:sz w:val="24"/>
        </w:rPr>
        <w:t>日  期：XXX年XXX月XXX日</w:t>
      </w:r>
      <w:r>
        <w:rPr>
          <w:rFonts w:hAnsi="宋体" w:cs="宋体"/>
        </w:rPr>
        <w:br w:type="page"/>
      </w:r>
    </w:p>
    <w:p>
      <w:pPr>
        <w:widowControl/>
        <w:jc w:val="left"/>
        <w:rPr>
          <w:rFonts w:hAnsi="宋体" w:cs="宋体"/>
        </w:rPr>
      </w:pPr>
    </w:p>
    <w:p>
      <w:pPr>
        <w:pStyle w:val="5"/>
        <w:jc w:val="center"/>
        <w:rPr>
          <w:rFonts w:ascii="宋体" w:hAnsi="宋体" w:eastAsia="宋体" w:cs="宋体"/>
        </w:rPr>
      </w:pPr>
      <w:r>
        <w:rPr>
          <w:rFonts w:hint="eastAsia" w:ascii="宋体" w:hAnsi="宋体" w:eastAsia="宋体" w:cs="宋体"/>
        </w:rPr>
        <w:t>七、商务应答表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969"/>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r>
              <w:rPr>
                <w:rFonts w:hint="eastAsia" w:hAnsi="宋体" w:cs="宋体"/>
                <w:sz w:val="24"/>
              </w:rPr>
              <w:t>序号</w:t>
            </w:r>
          </w:p>
        </w:tc>
        <w:tc>
          <w:tcPr>
            <w:tcW w:w="3969" w:type="dxa"/>
            <w:vAlign w:val="center"/>
          </w:tcPr>
          <w:p>
            <w:pPr>
              <w:jc w:val="center"/>
              <w:rPr>
                <w:rFonts w:hAnsi="宋体" w:cs="宋体"/>
                <w:sz w:val="24"/>
              </w:rPr>
            </w:pPr>
            <w:r>
              <w:rPr>
                <w:rFonts w:hint="eastAsia" w:hAnsi="宋体" w:cs="宋体"/>
                <w:sz w:val="24"/>
              </w:rPr>
              <w:t>采购文件要求</w:t>
            </w:r>
          </w:p>
        </w:tc>
        <w:tc>
          <w:tcPr>
            <w:tcW w:w="3890" w:type="dxa"/>
            <w:vAlign w:val="center"/>
          </w:tcPr>
          <w:p>
            <w:pPr>
              <w:jc w:val="center"/>
              <w:rPr>
                <w:rFonts w:hAnsi="宋体" w:cs="宋体"/>
                <w:sz w:val="24"/>
              </w:rPr>
            </w:pPr>
            <w:r>
              <w:rPr>
                <w:rFonts w:hint="eastAsia" w:hAnsi="宋体"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bCs/>
          <w:sz w:val="24"/>
        </w:rPr>
      </w:pPr>
      <w:r>
        <w:rPr>
          <w:rFonts w:hint="eastAsia" w:hAnsi="宋体" w:cs="宋体"/>
          <w:bCs/>
          <w:sz w:val="24"/>
        </w:rPr>
        <w:t>日  期：XXX年XXX月XXX日</w:t>
      </w:r>
    </w:p>
    <w:p>
      <w:pPr>
        <w:widowControl/>
        <w:jc w:val="left"/>
        <w:rPr>
          <w:rFonts w:hAnsi="宋体" w:cs="宋体"/>
        </w:rPr>
      </w:pPr>
      <w:r>
        <w:rPr>
          <w:rFonts w:hAnsi="宋体" w:cs="宋体"/>
        </w:rPr>
        <w:br w:type="page"/>
      </w:r>
    </w:p>
    <w:p>
      <w:pPr>
        <w:pStyle w:val="5"/>
        <w:jc w:val="center"/>
        <w:rPr>
          <w:rFonts w:ascii="宋体" w:hAnsi="宋体" w:eastAsia="宋体" w:cs="宋体"/>
        </w:rPr>
      </w:pPr>
      <w:r>
        <w:rPr>
          <w:rFonts w:hint="eastAsia" w:ascii="宋体" w:hAnsi="宋体" w:eastAsia="宋体" w:cs="宋体"/>
        </w:rPr>
        <w:t>八、技术参数要求应答表</w:t>
      </w:r>
    </w:p>
    <w:tbl>
      <w:tblPr>
        <w:tblStyle w:val="1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795"/>
        <w:gridCol w:w="1801"/>
        <w:gridCol w:w="4141"/>
        <w:gridCol w:w="720"/>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b/>
                <w:sz w:val="24"/>
              </w:rPr>
            </w:pPr>
            <w:r>
              <w:rPr>
                <w:rFonts w:hAnsi="宋体" w:cs="宋体"/>
                <w:b/>
                <w:sz w:val="24"/>
              </w:rPr>
              <w:t>序号</w:t>
            </w:r>
          </w:p>
        </w:tc>
        <w:tc>
          <w:tcPr>
            <w:tcW w:w="1801" w:type="dxa"/>
            <w:shd w:val="clear" w:color="auto" w:fill="FFFFFF" w:themeFill="background1"/>
            <w:vAlign w:val="center"/>
          </w:tcPr>
          <w:p>
            <w:pPr>
              <w:jc w:val="center"/>
              <w:rPr>
                <w:rFonts w:hAnsi="宋体" w:cs="宋体"/>
                <w:b/>
                <w:sz w:val="24"/>
              </w:rPr>
            </w:pPr>
            <w:r>
              <w:rPr>
                <w:rFonts w:hint="eastAsia" w:hAnsi="宋体" w:cs="宋体"/>
                <w:b/>
                <w:sz w:val="24"/>
              </w:rPr>
              <w:t>设备</w:t>
            </w:r>
            <w:r>
              <w:rPr>
                <w:rFonts w:hAnsi="宋体" w:cs="宋体"/>
                <w:b/>
                <w:sz w:val="24"/>
              </w:rPr>
              <w:t>名称</w:t>
            </w:r>
          </w:p>
        </w:tc>
        <w:tc>
          <w:tcPr>
            <w:tcW w:w="4141" w:type="dxa"/>
            <w:shd w:val="clear" w:color="auto" w:fill="FFFFFF" w:themeFill="background1"/>
            <w:vAlign w:val="center"/>
          </w:tcPr>
          <w:p>
            <w:pPr>
              <w:jc w:val="center"/>
              <w:rPr>
                <w:rFonts w:hAnsi="宋体" w:cs="宋体"/>
                <w:b/>
                <w:sz w:val="24"/>
              </w:rPr>
            </w:pPr>
            <w:r>
              <w:rPr>
                <w:rFonts w:hint="eastAsia" w:hAnsi="宋体" w:cs="宋体"/>
                <w:b/>
                <w:sz w:val="24"/>
              </w:rPr>
              <w:t>技术</w:t>
            </w:r>
            <w:r>
              <w:rPr>
                <w:rFonts w:hAnsi="宋体" w:cs="宋体"/>
                <w:b/>
                <w:sz w:val="24"/>
              </w:rPr>
              <w:t>规格</w:t>
            </w:r>
            <w:r>
              <w:rPr>
                <w:rFonts w:hint="eastAsia" w:hAnsi="宋体" w:cs="宋体"/>
                <w:b/>
                <w:sz w:val="24"/>
              </w:rPr>
              <w:t>和配置要求</w:t>
            </w:r>
          </w:p>
        </w:tc>
        <w:tc>
          <w:tcPr>
            <w:tcW w:w="720" w:type="dxa"/>
            <w:shd w:val="clear" w:color="auto" w:fill="FFFFFF" w:themeFill="background1"/>
            <w:vAlign w:val="center"/>
          </w:tcPr>
          <w:p>
            <w:pPr>
              <w:jc w:val="center"/>
              <w:rPr>
                <w:rFonts w:hAnsi="宋体" w:cs="宋体"/>
                <w:b/>
                <w:sz w:val="24"/>
              </w:rPr>
            </w:pPr>
            <w:r>
              <w:rPr>
                <w:rFonts w:hAnsi="宋体" w:cs="宋体"/>
                <w:b/>
                <w:sz w:val="24"/>
              </w:rPr>
              <w:t>单位</w:t>
            </w:r>
          </w:p>
        </w:tc>
        <w:tc>
          <w:tcPr>
            <w:tcW w:w="709" w:type="dxa"/>
            <w:shd w:val="clear" w:color="auto" w:fill="FFFFFF" w:themeFill="background1"/>
            <w:vAlign w:val="center"/>
          </w:tcPr>
          <w:p>
            <w:pPr>
              <w:jc w:val="center"/>
              <w:rPr>
                <w:rFonts w:hAnsi="宋体" w:cs="宋体"/>
                <w:b/>
                <w:sz w:val="24"/>
              </w:rPr>
            </w:pPr>
            <w:r>
              <w:rPr>
                <w:rFonts w:hAnsi="宋体" w:cs="宋体"/>
                <w:b/>
                <w:sz w:val="24"/>
              </w:rPr>
              <w:t>数量</w:t>
            </w:r>
          </w:p>
        </w:tc>
        <w:tc>
          <w:tcPr>
            <w:tcW w:w="1134" w:type="dxa"/>
            <w:shd w:val="clear" w:color="auto" w:fill="FFFFFF" w:themeFill="background1"/>
            <w:vAlign w:val="center"/>
          </w:tcPr>
          <w:p>
            <w:pPr>
              <w:jc w:val="center"/>
              <w:rPr>
                <w:rFonts w:hAnsi="宋体" w:cs="宋体"/>
                <w:b/>
                <w:sz w:val="24"/>
              </w:rPr>
            </w:pPr>
            <w:r>
              <w:rPr>
                <w:rFonts w:hint="eastAsia"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1</w:t>
            </w:r>
          </w:p>
        </w:tc>
        <w:tc>
          <w:tcPr>
            <w:tcW w:w="1801" w:type="dxa"/>
            <w:shd w:val="clear" w:color="auto" w:fill="FFFFFF" w:themeFill="background1"/>
            <w:vAlign w:val="center"/>
          </w:tcPr>
          <w:p>
            <w:pPr>
              <w:widowControl/>
              <w:jc w:val="center"/>
              <w:rPr>
                <w:rFonts w:ascii="Times New Roman" w:eastAsia="仿宋_GB2312"/>
                <w:sz w:val="18"/>
                <w:szCs w:val="18"/>
              </w:rPr>
            </w:pPr>
          </w:p>
        </w:tc>
        <w:tc>
          <w:tcPr>
            <w:tcW w:w="4141" w:type="dxa"/>
            <w:shd w:val="clear" w:color="auto" w:fill="FFFFFF" w:themeFill="background1"/>
            <w:vAlign w:val="center"/>
          </w:tcPr>
          <w:p>
            <w:pPr>
              <w:widowControl/>
              <w:jc w:val="center"/>
              <w:rPr>
                <w:rFonts w:ascii="Times New Roman" w:eastAsia="仿宋_GB2312"/>
                <w:sz w:val="18"/>
                <w:szCs w:val="18"/>
              </w:rPr>
            </w:pPr>
          </w:p>
        </w:tc>
        <w:tc>
          <w:tcPr>
            <w:tcW w:w="720" w:type="dxa"/>
            <w:shd w:val="clear" w:color="auto" w:fill="FFFFFF" w:themeFill="background1"/>
            <w:vAlign w:val="center"/>
          </w:tcPr>
          <w:p>
            <w:pPr>
              <w:widowControl/>
              <w:jc w:val="center"/>
              <w:rPr>
                <w:rFonts w:ascii="Times New Roman" w:eastAsia="仿宋_GB2312"/>
                <w:sz w:val="18"/>
                <w:szCs w:val="18"/>
              </w:rPr>
            </w:pPr>
          </w:p>
        </w:tc>
        <w:tc>
          <w:tcPr>
            <w:tcW w:w="709" w:type="dxa"/>
            <w:shd w:val="clear" w:color="auto" w:fill="FFFFFF" w:themeFill="background1"/>
            <w:vAlign w:val="center"/>
          </w:tcPr>
          <w:p>
            <w:pPr>
              <w:widowControl/>
              <w:jc w:val="center"/>
              <w:rPr>
                <w:rFonts w:ascii="Times New Roman" w:eastAsia="仿宋_GB2312"/>
                <w:sz w:val="18"/>
                <w:szCs w:val="18"/>
              </w:rPr>
            </w:pPr>
          </w:p>
        </w:tc>
        <w:tc>
          <w:tcPr>
            <w:tcW w:w="1134" w:type="dxa"/>
            <w:shd w:val="clear" w:color="auto" w:fill="FFFFFF" w:themeFill="background1"/>
          </w:tcPr>
          <w:p>
            <w:pPr>
              <w:widowControl/>
              <w:jc w:val="center"/>
              <w:rPr>
                <w:rFonts w:asci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2</w:t>
            </w:r>
          </w:p>
        </w:tc>
        <w:tc>
          <w:tcPr>
            <w:tcW w:w="1801" w:type="dxa"/>
            <w:shd w:val="clear" w:color="auto" w:fill="FFFFFF" w:themeFill="background1"/>
            <w:vAlign w:val="center"/>
          </w:tcPr>
          <w:p>
            <w:pPr>
              <w:widowControl/>
              <w:jc w:val="center"/>
              <w:rPr>
                <w:rFonts w:ascii="Times New Roman" w:eastAsia="仿宋_GB2312"/>
                <w:sz w:val="18"/>
                <w:szCs w:val="18"/>
              </w:rPr>
            </w:pPr>
          </w:p>
        </w:tc>
        <w:tc>
          <w:tcPr>
            <w:tcW w:w="4141" w:type="dxa"/>
            <w:shd w:val="clear" w:color="auto" w:fill="FFFFFF" w:themeFill="background1"/>
            <w:vAlign w:val="center"/>
          </w:tcPr>
          <w:p>
            <w:pPr>
              <w:widowControl/>
              <w:jc w:val="center"/>
              <w:rPr>
                <w:rFonts w:ascii="Times New Roman" w:eastAsia="仿宋_GB2312"/>
                <w:sz w:val="18"/>
                <w:szCs w:val="18"/>
              </w:rPr>
            </w:pPr>
          </w:p>
        </w:tc>
        <w:tc>
          <w:tcPr>
            <w:tcW w:w="720" w:type="dxa"/>
            <w:shd w:val="clear" w:color="auto" w:fill="FFFFFF" w:themeFill="background1"/>
            <w:vAlign w:val="center"/>
          </w:tcPr>
          <w:p>
            <w:pPr>
              <w:widowControl/>
              <w:jc w:val="center"/>
              <w:rPr>
                <w:rFonts w:ascii="Times New Roman" w:eastAsia="仿宋_GB2312"/>
                <w:sz w:val="18"/>
                <w:szCs w:val="18"/>
              </w:rPr>
            </w:pPr>
          </w:p>
        </w:tc>
        <w:tc>
          <w:tcPr>
            <w:tcW w:w="709" w:type="dxa"/>
            <w:shd w:val="clear" w:color="auto" w:fill="FFFFFF" w:themeFill="background1"/>
            <w:vAlign w:val="center"/>
          </w:tcPr>
          <w:p>
            <w:pPr>
              <w:widowControl/>
              <w:jc w:val="center"/>
              <w:rPr>
                <w:rFonts w:ascii="Times New Roman" w:eastAsia="仿宋_GB2312"/>
                <w:sz w:val="18"/>
                <w:szCs w:val="18"/>
              </w:rPr>
            </w:pPr>
          </w:p>
        </w:tc>
        <w:tc>
          <w:tcPr>
            <w:tcW w:w="1134" w:type="dxa"/>
            <w:shd w:val="clear" w:color="auto" w:fill="FFFFFF" w:themeFill="background1"/>
          </w:tcPr>
          <w:p>
            <w:pPr>
              <w:widowControl/>
              <w:jc w:val="center"/>
              <w:rPr>
                <w:rFonts w:asci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3</w:t>
            </w:r>
          </w:p>
        </w:tc>
        <w:tc>
          <w:tcPr>
            <w:tcW w:w="1801" w:type="dxa"/>
            <w:shd w:val="clear" w:color="auto" w:fill="FFFFFF" w:themeFill="background1"/>
            <w:vAlign w:val="center"/>
          </w:tcPr>
          <w:p>
            <w:pPr>
              <w:widowControl/>
              <w:jc w:val="center"/>
              <w:rPr>
                <w:rFonts w:ascii="Times New Roman" w:eastAsia="仿宋_GB2312"/>
                <w:sz w:val="18"/>
                <w:szCs w:val="18"/>
              </w:rPr>
            </w:pPr>
          </w:p>
        </w:tc>
        <w:tc>
          <w:tcPr>
            <w:tcW w:w="4141" w:type="dxa"/>
            <w:shd w:val="clear" w:color="auto" w:fill="FFFFFF" w:themeFill="background1"/>
            <w:vAlign w:val="center"/>
          </w:tcPr>
          <w:p>
            <w:pPr>
              <w:widowControl/>
              <w:jc w:val="center"/>
              <w:rPr>
                <w:rFonts w:ascii="Times New Roman" w:eastAsia="仿宋_GB2312"/>
                <w:sz w:val="18"/>
                <w:szCs w:val="18"/>
              </w:rPr>
            </w:pPr>
          </w:p>
        </w:tc>
        <w:tc>
          <w:tcPr>
            <w:tcW w:w="720" w:type="dxa"/>
            <w:shd w:val="clear" w:color="auto" w:fill="FFFFFF" w:themeFill="background1"/>
            <w:vAlign w:val="center"/>
          </w:tcPr>
          <w:p>
            <w:pPr>
              <w:widowControl/>
              <w:jc w:val="center"/>
              <w:rPr>
                <w:rFonts w:ascii="Times New Roman" w:eastAsia="仿宋_GB2312"/>
                <w:sz w:val="18"/>
                <w:szCs w:val="18"/>
              </w:rPr>
            </w:pPr>
          </w:p>
        </w:tc>
        <w:tc>
          <w:tcPr>
            <w:tcW w:w="709" w:type="dxa"/>
            <w:shd w:val="clear" w:color="auto" w:fill="FFFFFF" w:themeFill="background1"/>
            <w:vAlign w:val="center"/>
          </w:tcPr>
          <w:p>
            <w:pPr>
              <w:widowControl/>
              <w:jc w:val="center"/>
              <w:rPr>
                <w:rFonts w:ascii="Times New Roman" w:eastAsia="仿宋_GB2312"/>
                <w:sz w:val="18"/>
                <w:szCs w:val="18"/>
              </w:rPr>
            </w:pPr>
          </w:p>
        </w:tc>
        <w:tc>
          <w:tcPr>
            <w:tcW w:w="1134" w:type="dxa"/>
            <w:shd w:val="clear" w:color="auto" w:fill="FFFFFF" w:themeFill="background1"/>
          </w:tcPr>
          <w:p>
            <w:pPr>
              <w:widowControl/>
              <w:jc w:val="center"/>
              <w:rPr>
                <w:rFonts w:asci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4</w:t>
            </w:r>
          </w:p>
        </w:tc>
        <w:tc>
          <w:tcPr>
            <w:tcW w:w="1801" w:type="dxa"/>
            <w:shd w:val="clear" w:color="auto" w:fill="FFFFFF" w:themeFill="background1"/>
            <w:vAlign w:val="center"/>
          </w:tcPr>
          <w:p>
            <w:pPr>
              <w:widowControl/>
              <w:jc w:val="center"/>
              <w:rPr>
                <w:rFonts w:ascii="Times New Roman" w:eastAsia="仿宋_GB2312"/>
                <w:sz w:val="18"/>
                <w:szCs w:val="18"/>
              </w:rPr>
            </w:pPr>
          </w:p>
        </w:tc>
        <w:tc>
          <w:tcPr>
            <w:tcW w:w="4141" w:type="dxa"/>
            <w:shd w:val="clear" w:color="auto" w:fill="FFFFFF" w:themeFill="background1"/>
            <w:vAlign w:val="center"/>
          </w:tcPr>
          <w:p>
            <w:pPr>
              <w:widowControl/>
              <w:jc w:val="center"/>
              <w:rPr>
                <w:rFonts w:ascii="Times New Roman" w:eastAsia="仿宋_GB2312"/>
                <w:sz w:val="18"/>
                <w:szCs w:val="18"/>
              </w:rPr>
            </w:pPr>
          </w:p>
        </w:tc>
        <w:tc>
          <w:tcPr>
            <w:tcW w:w="720" w:type="dxa"/>
            <w:shd w:val="clear" w:color="auto" w:fill="FFFFFF" w:themeFill="background1"/>
            <w:vAlign w:val="center"/>
          </w:tcPr>
          <w:p>
            <w:pPr>
              <w:widowControl/>
              <w:jc w:val="center"/>
              <w:rPr>
                <w:rFonts w:ascii="Times New Roman" w:eastAsia="仿宋_GB2312"/>
                <w:sz w:val="18"/>
                <w:szCs w:val="18"/>
              </w:rPr>
            </w:pPr>
          </w:p>
        </w:tc>
        <w:tc>
          <w:tcPr>
            <w:tcW w:w="709" w:type="dxa"/>
            <w:shd w:val="clear" w:color="auto" w:fill="FFFFFF" w:themeFill="background1"/>
            <w:vAlign w:val="center"/>
          </w:tcPr>
          <w:p>
            <w:pPr>
              <w:widowControl/>
              <w:jc w:val="center"/>
              <w:rPr>
                <w:rFonts w:ascii="Times New Roman" w:eastAsia="仿宋_GB2312"/>
                <w:sz w:val="18"/>
                <w:szCs w:val="18"/>
              </w:rPr>
            </w:pPr>
          </w:p>
        </w:tc>
        <w:tc>
          <w:tcPr>
            <w:tcW w:w="1134" w:type="dxa"/>
            <w:shd w:val="clear" w:color="auto" w:fill="FFFFFF" w:themeFill="background1"/>
          </w:tcPr>
          <w:p>
            <w:pPr>
              <w:widowControl/>
              <w:jc w:val="center"/>
              <w:rPr>
                <w:rFonts w:asci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5</w:t>
            </w:r>
          </w:p>
        </w:tc>
        <w:tc>
          <w:tcPr>
            <w:tcW w:w="1801" w:type="dxa"/>
            <w:shd w:val="clear" w:color="auto" w:fill="FFFFFF" w:themeFill="background1"/>
            <w:vAlign w:val="center"/>
          </w:tcPr>
          <w:p>
            <w:pPr>
              <w:widowControl/>
              <w:jc w:val="center"/>
              <w:rPr>
                <w:rFonts w:ascii="Times New Roman" w:eastAsia="仿宋_GB2312"/>
                <w:sz w:val="18"/>
                <w:szCs w:val="18"/>
              </w:rPr>
            </w:pPr>
          </w:p>
        </w:tc>
        <w:tc>
          <w:tcPr>
            <w:tcW w:w="4141" w:type="dxa"/>
            <w:shd w:val="clear" w:color="auto" w:fill="FFFFFF" w:themeFill="background1"/>
            <w:vAlign w:val="center"/>
          </w:tcPr>
          <w:p>
            <w:pPr>
              <w:widowControl/>
              <w:jc w:val="center"/>
              <w:rPr>
                <w:rFonts w:ascii="Times New Roman" w:eastAsia="仿宋_GB2312"/>
                <w:sz w:val="18"/>
                <w:szCs w:val="18"/>
              </w:rPr>
            </w:pPr>
          </w:p>
        </w:tc>
        <w:tc>
          <w:tcPr>
            <w:tcW w:w="720" w:type="dxa"/>
            <w:shd w:val="clear" w:color="auto" w:fill="FFFFFF" w:themeFill="background1"/>
            <w:vAlign w:val="center"/>
          </w:tcPr>
          <w:p>
            <w:pPr>
              <w:widowControl/>
              <w:jc w:val="center"/>
              <w:rPr>
                <w:rFonts w:ascii="Times New Roman" w:eastAsia="仿宋_GB2312"/>
                <w:sz w:val="18"/>
                <w:szCs w:val="18"/>
              </w:rPr>
            </w:pPr>
          </w:p>
        </w:tc>
        <w:tc>
          <w:tcPr>
            <w:tcW w:w="709" w:type="dxa"/>
            <w:shd w:val="clear" w:color="auto" w:fill="FFFFFF" w:themeFill="background1"/>
            <w:vAlign w:val="center"/>
          </w:tcPr>
          <w:p>
            <w:pPr>
              <w:widowControl/>
              <w:jc w:val="center"/>
              <w:rPr>
                <w:rFonts w:ascii="Times New Roman" w:eastAsia="仿宋_GB2312"/>
                <w:sz w:val="18"/>
                <w:szCs w:val="18"/>
              </w:rPr>
            </w:pPr>
          </w:p>
        </w:tc>
        <w:tc>
          <w:tcPr>
            <w:tcW w:w="1134" w:type="dxa"/>
            <w:shd w:val="clear" w:color="auto" w:fill="FFFFFF" w:themeFill="background1"/>
          </w:tcPr>
          <w:p>
            <w:pPr>
              <w:widowControl/>
              <w:jc w:val="center"/>
              <w:rPr>
                <w:rFonts w:asci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6</w:t>
            </w:r>
          </w:p>
        </w:tc>
        <w:tc>
          <w:tcPr>
            <w:tcW w:w="1801" w:type="dxa"/>
            <w:shd w:val="clear" w:color="auto" w:fill="FFFFFF" w:themeFill="background1"/>
            <w:vAlign w:val="center"/>
          </w:tcPr>
          <w:p>
            <w:pPr>
              <w:widowControl/>
              <w:jc w:val="center"/>
              <w:rPr>
                <w:rFonts w:ascii="Times New Roman" w:eastAsia="仿宋_GB2312"/>
                <w:sz w:val="18"/>
                <w:szCs w:val="18"/>
              </w:rPr>
            </w:pPr>
          </w:p>
        </w:tc>
        <w:tc>
          <w:tcPr>
            <w:tcW w:w="4141" w:type="dxa"/>
            <w:shd w:val="clear" w:color="auto" w:fill="FFFFFF" w:themeFill="background1"/>
            <w:vAlign w:val="center"/>
          </w:tcPr>
          <w:p>
            <w:pPr>
              <w:widowControl/>
              <w:jc w:val="center"/>
              <w:rPr>
                <w:rFonts w:ascii="Times New Roman" w:eastAsia="仿宋_GB2312"/>
                <w:sz w:val="18"/>
                <w:szCs w:val="18"/>
              </w:rPr>
            </w:pPr>
          </w:p>
        </w:tc>
        <w:tc>
          <w:tcPr>
            <w:tcW w:w="720" w:type="dxa"/>
            <w:shd w:val="clear" w:color="auto" w:fill="FFFFFF" w:themeFill="background1"/>
            <w:vAlign w:val="center"/>
          </w:tcPr>
          <w:p>
            <w:pPr>
              <w:widowControl/>
              <w:jc w:val="center"/>
              <w:rPr>
                <w:rFonts w:ascii="Times New Roman" w:eastAsia="仿宋_GB2312"/>
                <w:sz w:val="18"/>
                <w:szCs w:val="18"/>
              </w:rPr>
            </w:pPr>
          </w:p>
        </w:tc>
        <w:tc>
          <w:tcPr>
            <w:tcW w:w="709" w:type="dxa"/>
            <w:shd w:val="clear" w:color="auto" w:fill="FFFFFF" w:themeFill="background1"/>
            <w:vAlign w:val="center"/>
          </w:tcPr>
          <w:p>
            <w:pPr>
              <w:widowControl/>
              <w:jc w:val="center"/>
              <w:rPr>
                <w:rFonts w:ascii="Times New Roman" w:eastAsia="仿宋_GB2312"/>
                <w:sz w:val="18"/>
                <w:szCs w:val="18"/>
              </w:rPr>
            </w:pPr>
          </w:p>
        </w:tc>
        <w:tc>
          <w:tcPr>
            <w:tcW w:w="1134" w:type="dxa"/>
            <w:shd w:val="clear" w:color="auto" w:fill="FFFFFF" w:themeFill="background1"/>
          </w:tcPr>
          <w:p>
            <w:pPr>
              <w:widowControl/>
              <w:jc w:val="center"/>
              <w:rPr>
                <w:rFonts w:asci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7</w:t>
            </w:r>
          </w:p>
        </w:tc>
        <w:tc>
          <w:tcPr>
            <w:tcW w:w="1801" w:type="dxa"/>
            <w:shd w:val="clear" w:color="auto" w:fill="FFFFFF" w:themeFill="background1"/>
            <w:vAlign w:val="center"/>
          </w:tcPr>
          <w:p>
            <w:pPr>
              <w:widowControl/>
              <w:jc w:val="center"/>
              <w:rPr>
                <w:rFonts w:ascii="Times New Roman" w:eastAsia="仿宋_GB2312"/>
                <w:sz w:val="18"/>
                <w:szCs w:val="18"/>
              </w:rPr>
            </w:pPr>
          </w:p>
        </w:tc>
        <w:tc>
          <w:tcPr>
            <w:tcW w:w="4141" w:type="dxa"/>
            <w:shd w:val="clear" w:color="auto" w:fill="FFFFFF" w:themeFill="background1"/>
            <w:vAlign w:val="center"/>
          </w:tcPr>
          <w:p>
            <w:pPr>
              <w:widowControl/>
              <w:jc w:val="center"/>
              <w:rPr>
                <w:rFonts w:ascii="Times New Roman" w:eastAsia="仿宋_GB2312"/>
                <w:sz w:val="18"/>
                <w:szCs w:val="18"/>
              </w:rPr>
            </w:pPr>
          </w:p>
        </w:tc>
        <w:tc>
          <w:tcPr>
            <w:tcW w:w="720" w:type="dxa"/>
            <w:shd w:val="clear" w:color="auto" w:fill="FFFFFF" w:themeFill="background1"/>
            <w:vAlign w:val="center"/>
          </w:tcPr>
          <w:p>
            <w:pPr>
              <w:widowControl/>
              <w:jc w:val="center"/>
              <w:rPr>
                <w:rFonts w:ascii="Times New Roman" w:eastAsia="仿宋_GB2312"/>
                <w:sz w:val="18"/>
                <w:szCs w:val="18"/>
              </w:rPr>
            </w:pPr>
          </w:p>
        </w:tc>
        <w:tc>
          <w:tcPr>
            <w:tcW w:w="709" w:type="dxa"/>
            <w:shd w:val="clear" w:color="auto" w:fill="FFFFFF" w:themeFill="background1"/>
            <w:vAlign w:val="center"/>
          </w:tcPr>
          <w:p>
            <w:pPr>
              <w:widowControl/>
              <w:jc w:val="center"/>
              <w:rPr>
                <w:rFonts w:ascii="Times New Roman" w:eastAsia="仿宋_GB2312"/>
                <w:sz w:val="18"/>
                <w:szCs w:val="18"/>
              </w:rPr>
            </w:pPr>
          </w:p>
        </w:tc>
        <w:tc>
          <w:tcPr>
            <w:tcW w:w="1134" w:type="dxa"/>
            <w:shd w:val="clear" w:color="auto" w:fill="FFFFFF" w:themeFill="background1"/>
          </w:tcPr>
          <w:p>
            <w:pPr>
              <w:widowControl/>
              <w:jc w:val="center"/>
              <w:rPr>
                <w:rFonts w:asci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widowControl/>
              <w:jc w:val="center"/>
              <w:rPr>
                <w:rFonts w:ascii="Times New Roman" w:eastAsia="仿宋_GB2312"/>
                <w:sz w:val="18"/>
                <w:szCs w:val="18"/>
              </w:rPr>
            </w:pPr>
          </w:p>
        </w:tc>
        <w:tc>
          <w:tcPr>
            <w:tcW w:w="1801" w:type="dxa"/>
            <w:shd w:val="clear" w:color="auto" w:fill="FFFFFF" w:themeFill="background1"/>
            <w:vAlign w:val="center"/>
          </w:tcPr>
          <w:p>
            <w:pPr>
              <w:widowControl/>
              <w:jc w:val="center"/>
              <w:rPr>
                <w:rFonts w:ascii="Times New Roman" w:eastAsia="仿宋_GB2312"/>
                <w:sz w:val="18"/>
                <w:szCs w:val="18"/>
              </w:rPr>
            </w:pPr>
          </w:p>
        </w:tc>
        <w:tc>
          <w:tcPr>
            <w:tcW w:w="4141" w:type="dxa"/>
            <w:shd w:val="clear" w:color="auto" w:fill="FFFFFF" w:themeFill="background1"/>
            <w:vAlign w:val="center"/>
          </w:tcPr>
          <w:p>
            <w:pPr>
              <w:widowControl/>
              <w:jc w:val="center"/>
              <w:rPr>
                <w:rFonts w:ascii="Times New Roman" w:eastAsia="仿宋_GB2312"/>
                <w:sz w:val="18"/>
                <w:szCs w:val="18"/>
              </w:rPr>
            </w:pPr>
          </w:p>
        </w:tc>
        <w:tc>
          <w:tcPr>
            <w:tcW w:w="720" w:type="dxa"/>
            <w:shd w:val="clear" w:color="auto" w:fill="FFFFFF" w:themeFill="background1"/>
            <w:vAlign w:val="center"/>
          </w:tcPr>
          <w:p>
            <w:pPr>
              <w:widowControl/>
              <w:jc w:val="center"/>
              <w:rPr>
                <w:rFonts w:ascii="Times New Roman" w:eastAsia="仿宋_GB2312"/>
                <w:sz w:val="18"/>
                <w:szCs w:val="18"/>
              </w:rPr>
            </w:pPr>
          </w:p>
        </w:tc>
        <w:tc>
          <w:tcPr>
            <w:tcW w:w="709" w:type="dxa"/>
            <w:shd w:val="clear" w:color="auto" w:fill="FFFFFF" w:themeFill="background1"/>
            <w:vAlign w:val="center"/>
          </w:tcPr>
          <w:p>
            <w:pPr>
              <w:widowControl/>
              <w:jc w:val="center"/>
              <w:rPr>
                <w:rFonts w:ascii="Times New Roman" w:eastAsia="仿宋_GB2312"/>
                <w:sz w:val="18"/>
                <w:szCs w:val="18"/>
              </w:rPr>
            </w:pPr>
          </w:p>
        </w:tc>
        <w:tc>
          <w:tcPr>
            <w:tcW w:w="1134" w:type="dxa"/>
            <w:shd w:val="clear" w:color="auto" w:fill="FFFFFF" w:themeFill="background1"/>
          </w:tcPr>
          <w:p>
            <w:pPr>
              <w:widowControl/>
              <w:jc w:val="center"/>
              <w:rPr>
                <w:rFonts w:asci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widowControl/>
              <w:jc w:val="center"/>
              <w:rPr>
                <w:rFonts w:ascii="Times New Roman" w:eastAsia="仿宋_GB2312"/>
                <w:sz w:val="18"/>
                <w:szCs w:val="18"/>
              </w:rPr>
            </w:pPr>
          </w:p>
        </w:tc>
        <w:tc>
          <w:tcPr>
            <w:tcW w:w="1801" w:type="dxa"/>
            <w:shd w:val="clear" w:color="auto" w:fill="FFFFFF" w:themeFill="background1"/>
            <w:vAlign w:val="center"/>
          </w:tcPr>
          <w:p>
            <w:pPr>
              <w:widowControl/>
              <w:jc w:val="center"/>
              <w:rPr>
                <w:rFonts w:ascii="Times New Roman" w:eastAsia="仿宋_GB2312"/>
                <w:sz w:val="18"/>
                <w:szCs w:val="18"/>
              </w:rPr>
            </w:pPr>
          </w:p>
        </w:tc>
        <w:tc>
          <w:tcPr>
            <w:tcW w:w="4141" w:type="dxa"/>
            <w:shd w:val="clear" w:color="auto" w:fill="FFFFFF" w:themeFill="background1"/>
            <w:vAlign w:val="center"/>
          </w:tcPr>
          <w:p>
            <w:pPr>
              <w:widowControl/>
              <w:jc w:val="center"/>
              <w:rPr>
                <w:rFonts w:ascii="Times New Roman" w:eastAsia="仿宋_GB2312"/>
                <w:sz w:val="18"/>
                <w:szCs w:val="18"/>
              </w:rPr>
            </w:pPr>
          </w:p>
        </w:tc>
        <w:tc>
          <w:tcPr>
            <w:tcW w:w="720" w:type="dxa"/>
            <w:shd w:val="clear" w:color="auto" w:fill="FFFFFF" w:themeFill="background1"/>
            <w:vAlign w:val="center"/>
          </w:tcPr>
          <w:p>
            <w:pPr>
              <w:widowControl/>
              <w:jc w:val="center"/>
              <w:rPr>
                <w:rFonts w:ascii="Times New Roman" w:eastAsia="仿宋_GB2312"/>
                <w:sz w:val="18"/>
                <w:szCs w:val="18"/>
              </w:rPr>
            </w:pPr>
          </w:p>
        </w:tc>
        <w:tc>
          <w:tcPr>
            <w:tcW w:w="709" w:type="dxa"/>
            <w:shd w:val="clear" w:color="auto" w:fill="FFFFFF" w:themeFill="background1"/>
            <w:vAlign w:val="center"/>
          </w:tcPr>
          <w:p>
            <w:pPr>
              <w:widowControl/>
              <w:jc w:val="center"/>
              <w:rPr>
                <w:rFonts w:ascii="Times New Roman" w:eastAsia="仿宋_GB2312"/>
                <w:sz w:val="18"/>
                <w:szCs w:val="18"/>
              </w:rPr>
            </w:pPr>
          </w:p>
        </w:tc>
        <w:tc>
          <w:tcPr>
            <w:tcW w:w="1134" w:type="dxa"/>
            <w:shd w:val="clear" w:color="auto" w:fill="FFFFFF" w:themeFill="background1"/>
          </w:tcPr>
          <w:p>
            <w:pPr>
              <w:widowControl/>
              <w:jc w:val="center"/>
              <w:rPr>
                <w:rFonts w:ascii="Times New Roman" w:eastAsia="仿宋_GB2312"/>
                <w:sz w:val="18"/>
                <w:szCs w:val="18"/>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rPr>
      </w:pPr>
      <w:r>
        <w:rPr>
          <w:rFonts w:hint="eastAsia" w:hAnsi="宋体" w:cs="宋体"/>
          <w:bCs/>
          <w:sz w:val="24"/>
        </w:rPr>
        <w:t>日  期：XXX年XXX月XXX日</w:t>
      </w:r>
    </w:p>
    <w:sectPr>
      <w:footerReference r:id="rId6" w:type="default"/>
      <w:pgSz w:w="11906" w:h="16838"/>
      <w:pgMar w:top="1213" w:right="1179" w:bottom="1213"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ì.">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1"/>
      </w:rPr>
    </w:pPr>
    <w:r>
      <w:fldChar w:fldCharType="begin"/>
    </w:r>
    <w:r>
      <w:rPr>
        <w:rStyle w:val="21"/>
      </w:rPr>
      <w:instrText xml:space="preserve">PAGE  </w:instrTex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69F1C8"/>
    <w:multiLevelType w:val="multilevel"/>
    <w:tmpl w:val="1969F1C8"/>
    <w:lvl w:ilvl="0" w:tentative="0">
      <w:start w:val="1"/>
      <w:numFmt w:val="chineseCountingThousand"/>
      <w:suff w:val="space"/>
      <w:lvlText w:val="%1. "/>
      <w:lvlJc w:val="left"/>
      <w:pPr>
        <w:tabs>
          <w:tab w:val="left" w:pos="0"/>
        </w:tabs>
        <w:ind w:left="907" w:hanging="907"/>
      </w:pPr>
    </w:lvl>
    <w:lvl w:ilvl="1" w:tentative="0">
      <w:start w:val="1"/>
      <w:numFmt w:val="decimal"/>
      <w:isLgl/>
      <w:suff w:val="space"/>
      <w:lvlText w:val="%1.%2 "/>
      <w:lvlJc w:val="left"/>
      <w:pPr>
        <w:tabs>
          <w:tab w:val="left" w:pos="0"/>
        </w:tabs>
        <w:ind w:left="794" w:hanging="794"/>
      </w:p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decimal"/>
      <w:pStyle w:val="29"/>
      <w:lvlText w:val=""/>
      <w:lvlJc w:val="left"/>
      <w:pPr>
        <w:tabs>
          <w:tab w:val="left" w:pos="0"/>
        </w:tabs>
        <w:ind w:left="0" w:firstLine="0"/>
      </w:pPr>
      <w:rPr>
        <w:rFonts w:cs="Times New Roman"/>
      </w:rPr>
    </w:lvl>
    <w:lvl w:ilvl="5" w:tentative="0">
      <w:start w:val="0"/>
      <w:numFmt w:val="decimal"/>
      <w:lvlText w:val=""/>
      <w:lvlJc w:val="left"/>
      <w:pPr>
        <w:tabs>
          <w:tab w:val="left" w:pos="0"/>
        </w:tabs>
        <w:ind w:left="0" w:firstLine="0"/>
      </w:pPr>
      <w:rPr>
        <w:rFonts w:cs="Times New Roman"/>
      </w:rPr>
    </w:lvl>
    <w:lvl w:ilvl="6" w:tentative="0">
      <w:start w:val="0"/>
      <w:numFmt w:val="decimal"/>
      <w:lvlText w:val=""/>
      <w:lvlJc w:val="left"/>
      <w:pPr>
        <w:tabs>
          <w:tab w:val="left" w:pos="0"/>
        </w:tabs>
        <w:ind w:left="0" w:firstLine="0"/>
      </w:pPr>
      <w:rPr>
        <w:rFonts w:cs="Times New Roman"/>
      </w:rPr>
    </w:lvl>
    <w:lvl w:ilvl="7" w:tentative="0">
      <w:start w:val="0"/>
      <w:numFmt w:val="decimal"/>
      <w:lvlText w:val=""/>
      <w:lvlJc w:val="left"/>
      <w:pPr>
        <w:tabs>
          <w:tab w:val="left" w:pos="0"/>
        </w:tabs>
        <w:ind w:left="0" w:firstLine="0"/>
      </w:pPr>
      <w:rPr>
        <w:rFonts w:cs="Times New Roman"/>
      </w:rPr>
    </w:lvl>
    <w:lvl w:ilvl="8" w:tentative="0">
      <w:start w:val="0"/>
      <w:numFmt w:val="decimal"/>
      <w:lvlText w:val=""/>
      <w:lvlJc w:val="left"/>
      <w:pPr>
        <w:tabs>
          <w:tab w:val="left" w:pos="0"/>
        </w:tabs>
        <w:ind w:left="0" w:firstLine="0"/>
      </w:pPr>
      <w:rPr>
        <w:rFonts w:cs="Times New Roman"/>
      </w:rPr>
    </w:lvl>
  </w:abstractNum>
  <w:abstractNum w:abstractNumId="1">
    <w:nsid w:val="1D029252"/>
    <w:multiLevelType w:val="singleLevel"/>
    <w:tmpl w:val="1D02925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C23DD"/>
    <w:rsid w:val="00125306"/>
    <w:rsid w:val="00181C12"/>
    <w:rsid w:val="00190004"/>
    <w:rsid w:val="001A267D"/>
    <w:rsid w:val="001C590F"/>
    <w:rsid w:val="001C7D50"/>
    <w:rsid w:val="00243E63"/>
    <w:rsid w:val="00251925"/>
    <w:rsid w:val="00276226"/>
    <w:rsid w:val="00286CD5"/>
    <w:rsid w:val="002913FD"/>
    <w:rsid w:val="00291828"/>
    <w:rsid w:val="002B06A0"/>
    <w:rsid w:val="002E0562"/>
    <w:rsid w:val="002E43DD"/>
    <w:rsid w:val="002F3DD9"/>
    <w:rsid w:val="00350530"/>
    <w:rsid w:val="00380D3C"/>
    <w:rsid w:val="00385DC4"/>
    <w:rsid w:val="00396CE8"/>
    <w:rsid w:val="003C4303"/>
    <w:rsid w:val="003D2DFC"/>
    <w:rsid w:val="003E0ACE"/>
    <w:rsid w:val="0040242A"/>
    <w:rsid w:val="004262F4"/>
    <w:rsid w:val="00485AFF"/>
    <w:rsid w:val="004A2D20"/>
    <w:rsid w:val="004D2A5D"/>
    <w:rsid w:val="005617D4"/>
    <w:rsid w:val="005A4978"/>
    <w:rsid w:val="005D3E60"/>
    <w:rsid w:val="00637F15"/>
    <w:rsid w:val="0065694C"/>
    <w:rsid w:val="006B043D"/>
    <w:rsid w:val="007636FC"/>
    <w:rsid w:val="007B573C"/>
    <w:rsid w:val="007E18F9"/>
    <w:rsid w:val="007E5FAF"/>
    <w:rsid w:val="008C052B"/>
    <w:rsid w:val="008C79EF"/>
    <w:rsid w:val="008F6A00"/>
    <w:rsid w:val="00940269"/>
    <w:rsid w:val="009506EA"/>
    <w:rsid w:val="00967354"/>
    <w:rsid w:val="009B39A4"/>
    <w:rsid w:val="009F497B"/>
    <w:rsid w:val="00A0146A"/>
    <w:rsid w:val="00B07A1C"/>
    <w:rsid w:val="00B111B6"/>
    <w:rsid w:val="00B8625C"/>
    <w:rsid w:val="00BB14F9"/>
    <w:rsid w:val="00C0432C"/>
    <w:rsid w:val="00C0564B"/>
    <w:rsid w:val="00C263B6"/>
    <w:rsid w:val="00C720BA"/>
    <w:rsid w:val="00C83C20"/>
    <w:rsid w:val="00C87DC9"/>
    <w:rsid w:val="00D05743"/>
    <w:rsid w:val="00D97BFA"/>
    <w:rsid w:val="00DB65AB"/>
    <w:rsid w:val="00E43658"/>
    <w:rsid w:val="00E464C5"/>
    <w:rsid w:val="00E47395"/>
    <w:rsid w:val="00E665F3"/>
    <w:rsid w:val="00E97423"/>
    <w:rsid w:val="00EE4FEB"/>
    <w:rsid w:val="00F15C01"/>
    <w:rsid w:val="00F343EB"/>
    <w:rsid w:val="00F87C8C"/>
    <w:rsid w:val="018C519F"/>
    <w:rsid w:val="022F4CE1"/>
    <w:rsid w:val="03882486"/>
    <w:rsid w:val="061943CD"/>
    <w:rsid w:val="06423A59"/>
    <w:rsid w:val="065D699D"/>
    <w:rsid w:val="06D569E6"/>
    <w:rsid w:val="07776E15"/>
    <w:rsid w:val="081317D2"/>
    <w:rsid w:val="0B5537E1"/>
    <w:rsid w:val="0C5E7C3B"/>
    <w:rsid w:val="0CCA07D3"/>
    <w:rsid w:val="0D827F43"/>
    <w:rsid w:val="0E245572"/>
    <w:rsid w:val="0E5F4A54"/>
    <w:rsid w:val="13D5175D"/>
    <w:rsid w:val="143D6562"/>
    <w:rsid w:val="15A55AE9"/>
    <w:rsid w:val="166D3D68"/>
    <w:rsid w:val="1C314E75"/>
    <w:rsid w:val="1C361A6A"/>
    <w:rsid w:val="1EE15B15"/>
    <w:rsid w:val="1F0755D1"/>
    <w:rsid w:val="1FEF0CC8"/>
    <w:rsid w:val="20856DA9"/>
    <w:rsid w:val="2114042F"/>
    <w:rsid w:val="217665F0"/>
    <w:rsid w:val="22C60FFD"/>
    <w:rsid w:val="23491B7F"/>
    <w:rsid w:val="24FC23DD"/>
    <w:rsid w:val="256E68B2"/>
    <w:rsid w:val="2877651F"/>
    <w:rsid w:val="29D06CFB"/>
    <w:rsid w:val="29F276E2"/>
    <w:rsid w:val="2B911481"/>
    <w:rsid w:val="2C1F64DD"/>
    <w:rsid w:val="2E7D3838"/>
    <w:rsid w:val="2FC21854"/>
    <w:rsid w:val="3118459C"/>
    <w:rsid w:val="34237336"/>
    <w:rsid w:val="39F72F28"/>
    <w:rsid w:val="3B0E378E"/>
    <w:rsid w:val="3EAA2AF4"/>
    <w:rsid w:val="3FAD4E51"/>
    <w:rsid w:val="3FC86BFD"/>
    <w:rsid w:val="40A53B08"/>
    <w:rsid w:val="43DA2991"/>
    <w:rsid w:val="46277159"/>
    <w:rsid w:val="48C473E8"/>
    <w:rsid w:val="48DD0F50"/>
    <w:rsid w:val="49085211"/>
    <w:rsid w:val="4B8C05D0"/>
    <w:rsid w:val="4C1F195A"/>
    <w:rsid w:val="4FA52F26"/>
    <w:rsid w:val="500311B5"/>
    <w:rsid w:val="50FB3CF9"/>
    <w:rsid w:val="562941A2"/>
    <w:rsid w:val="571D21A2"/>
    <w:rsid w:val="5740782F"/>
    <w:rsid w:val="59E52E0A"/>
    <w:rsid w:val="5B2C260E"/>
    <w:rsid w:val="5EE934F0"/>
    <w:rsid w:val="606B22EC"/>
    <w:rsid w:val="689B6EBF"/>
    <w:rsid w:val="6BF909F1"/>
    <w:rsid w:val="6E70604D"/>
    <w:rsid w:val="72AC0BDC"/>
    <w:rsid w:val="72B27BF1"/>
    <w:rsid w:val="72D24D33"/>
    <w:rsid w:val="734378F0"/>
    <w:rsid w:val="74DA605E"/>
    <w:rsid w:val="755D58EA"/>
    <w:rsid w:val="76AF5C0B"/>
    <w:rsid w:val="777975AA"/>
    <w:rsid w:val="7BC47949"/>
    <w:rsid w:val="7C944F19"/>
    <w:rsid w:val="7CE21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Times New Roman"/>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kern w:val="2"/>
      <w:sz w:val="21"/>
      <w:szCs w:val="24"/>
    </w:rPr>
  </w:style>
  <w:style w:type="paragraph" w:styleId="3">
    <w:name w:val="Subtitle"/>
    <w:basedOn w:val="1"/>
    <w:next w:val="1"/>
    <w:link w:val="40"/>
    <w:qFormat/>
    <w:uiPriority w:val="0"/>
    <w:pPr>
      <w:spacing w:before="240" w:after="60" w:line="312" w:lineRule="auto"/>
      <w:jc w:val="center"/>
      <w:outlineLvl w:val="1"/>
    </w:pPr>
    <w:rPr>
      <w:rFonts w:ascii="Arial" w:hAnsi="Arial" w:cs="Arial"/>
      <w:b/>
      <w:bCs/>
      <w:kern w:val="28"/>
      <w:sz w:val="32"/>
      <w:szCs w:val="32"/>
    </w:rPr>
  </w:style>
  <w:style w:type="paragraph" w:styleId="6">
    <w:name w:val="Normal Indent"/>
    <w:basedOn w:val="1"/>
    <w:next w:val="1"/>
    <w:qFormat/>
    <w:uiPriority w:val="0"/>
    <w:pPr>
      <w:ind w:firstLine="420" w:firstLineChars="200"/>
    </w:pPr>
    <w:rPr>
      <w:rFonts w:ascii="Times New Roman"/>
      <w:kern w:val="2"/>
      <w:sz w:val="21"/>
      <w:szCs w:val="24"/>
    </w:rPr>
  </w:style>
  <w:style w:type="paragraph" w:styleId="7">
    <w:name w:val="annotation text"/>
    <w:basedOn w:val="1"/>
    <w:link w:val="39"/>
    <w:qFormat/>
    <w:uiPriority w:val="0"/>
    <w:pPr>
      <w:spacing w:after="160" w:line="259" w:lineRule="auto"/>
      <w:jc w:val="left"/>
    </w:pPr>
    <w:rPr>
      <w:rFonts w:ascii="Calibri" w:hAnsi="Calibri"/>
      <w:kern w:val="2"/>
      <w:sz w:val="21"/>
      <w:szCs w:val="24"/>
    </w:rPr>
  </w:style>
  <w:style w:type="paragraph" w:styleId="8">
    <w:name w:val="Body Text Indent"/>
    <w:basedOn w:val="1"/>
    <w:qFormat/>
    <w:uiPriority w:val="0"/>
    <w:pPr>
      <w:ind w:firstLine="630"/>
    </w:pPr>
    <w:rPr>
      <w:rFonts w:ascii="Times New Roman"/>
      <w:kern w:val="2"/>
      <w:sz w:val="32"/>
    </w:rPr>
  </w:style>
  <w:style w:type="paragraph" w:styleId="9">
    <w:name w:val="HTML Address"/>
    <w:basedOn w:val="1"/>
    <w:qFormat/>
    <w:uiPriority w:val="0"/>
    <w:rPr>
      <w:i/>
      <w:iCs/>
      <w:szCs w:val="21"/>
    </w:rPr>
  </w:style>
  <w:style w:type="paragraph" w:styleId="10">
    <w:name w:val="Plain Text"/>
    <w:basedOn w:val="1"/>
    <w:qFormat/>
    <w:uiPriority w:val="0"/>
    <w:pPr>
      <w:autoSpaceDE w:val="0"/>
      <w:autoSpaceDN w:val="0"/>
      <w:adjustRightInd w:val="0"/>
    </w:pPr>
    <w:rPr>
      <w:rFonts w:hAnsi="Tms Rmn"/>
      <w:sz w:val="21"/>
    </w:r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38"/>
    <w:qFormat/>
    <w:uiPriority w:val="0"/>
    <w:rPr>
      <w:sz w:val="18"/>
      <w:szCs w:val="18"/>
    </w:rPr>
  </w:style>
  <w:style w:type="paragraph" w:styleId="13">
    <w:name w:val="footer"/>
    <w:basedOn w:val="1"/>
    <w:qFormat/>
    <w:uiPriority w:val="99"/>
    <w:pPr>
      <w:tabs>
        <w:tab w:val="center" w:pos="4153"/>
        <w:tab w:val="right" w:pos="8306"/>
      </w:tabs>
      <w:snapToGrid w:val="0"/>
      <w:jc w:val="left"/>
    </w:pPr>
    <w:rPr>
      <w:rFonts w:ascii="Times New Roman"/>
      <w:kern w:val="2"/>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5">
    <w:name w:val="Normal (Web)"/>
    <w:basedOn w:val="1"/>
    <w:qFormat/>
    <w:uiPriority w:val="99"/>
    <w:pPr>
      <w:widowControl/>
      <w:spacing w:before="100" w:beforeAutospacing="1" w:after="100" w:afterAutospacing="1" w:line="259" w:lineRule="auto"/>
      <w:jc w:val="left"/>
    </w:pPr>
    <w:rPr>
      <w:rFonts w:hAnsi="Calibri"/>
      <w:sz w:val="18"/>
      <w:szCs w:val="18"/>
    </w:rPr>
  </w:style>
  <w:style w:type="paragraph" w:styleId="16">
    <w:name w:val="Body Text First Indent"/>
    <w:basedOn w:val="2"/>
    <w:next w:val="1"/>
    <w:unhideWhenUsed/>
    <w:qFormat/>
    <w:uiPriority w:val="99"/>
    <w:pPr>
      <w:spacing w:line="400" w:lineRule="atLeast"/>
      <w:ind w:firstLine="426"/>
    </w:pPr>
    <w:rPr>
      <w:szCs w:val="20"/>
    </w:rPr>
  </w:style>
  <w:style w:type="table" w:styleId="18">
    <w:name w:val="Table Grid"/>
    <w:basedOn w:val="17"/>
    <w:qFormat/>
    <w:uiPriority w:val="5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page number"/>
    <w:basedOn w:val="19"/>
    <w:qFormat/>
    <w:uiPriority w:val="0"/>
    <w:rPr>
      <w:rFonts w:ascii="Times New Roman" w:hAnsi="Times New Roman" w:eastAsia="宋体" w:cs="Times New Roman"/>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paragraph" w:customStyle="1" w:styleId="23">
    <w:name w:val="正文 A"/>
    <w:next w:val="24"/>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4">
    <w:name w:val="正文文本1"/>
    <w:qFormat/>
    <w:uiPriority w:val="0"/>
    <w:pPr>
      <w:framePr w:wrap="around" w:vAnchor="margin" w:hAnchor="text" w:y="1"/>
      <w:widowControl w:val="0"/>
      <w:spacing w:after="120"/>
      <w:jc w:val="both"/>
    </w:pPr>
    <w:rPr>
      <w:rFonts w:ascii="Times New Roman" w:hAnsi="Times New Roman" w:eastAsia="Arial Unicode MS" w:cs="Arial Unicode MS"/>
      <w:color w:val="000000"/>
      <w:kern w:val="2"/>
      <w:sz w:val="21"/>
      <w:szCs w:val="21"/>
      <w:lang w:val="en-US" w:eastAsia="zh-CN" w:bidi="ar-SA"/>
    </w:rPr>
  </w:style>
  <w:style w:type="paragraph" w:customStyle="1" w:styleId="25">
    <w:name w:val="21、第三章“(一)”三级标题"/>
    <w:basedOn w:val="26"/>
    <w:qFormat/>
    <w:uiPriority w:val="0"/>
    <w:pPr>
      <w:pageBreakBefore/>
      <w:tabs>
        <w:tab w:val="left" w:pos="0"/>
      </w:tabs>
      <w:spacing w:beforeLines="50" w:afterLines="50"/>
      <w:jc w:val="center"/>
      <w:outlineLvl w:val="2"/>
    </w:pPr>
    <w:rPr>
      <w:b/>
      <w:sz w:val="28"/>
    </w:rPr>
  </w:style>
  <w:style w:type="paragraph" w:customStyle="1" w:styleId="26">
    <w:name w:val="01、普通正文"/>
    <w:basedOn w:val="1"/>
    <w:qFormat/>
    <w:uiPriority w:val="0"/>
    <w:pPr>
      <w:tabs>
        <w:tab w:val="left" w:pos="0"/>
      </w:tabs>
      <w:wordWrap w:val="0"/>
      <w:topLinePunct/>
    </w:pPr>
    <w:rPr>
      <w:snapToGrid w:val="0"/>
    </w:rPr>
  </w:style>
  <w:style w:type="paragraph" w:customStyle="1" w:styleId="27">
    <w:name w:val="02、首行缩进2字符正文"/>
    <w:basedOn w:val="1"/>
    <w:qFormat/>
    <w:uiPriority w:val="0"/>
    <w:pPr>
      <w:tabs>
        <w:tab w:val="left" w:pos="0"/>
      </w:tabs>
      <w:wordWrap w:val="0"/>
      <w:topLinePunct/>
      <w:ind w:firstLine="480" w:firstLineChars="200"/>
    </w:pPr>
  </w:style>
  <w:style w:type="paragraph" w:customStyle="1" w:styleId="28">
    <w:name w:val="03、“注：”正文(加粗，首行缩进2字符)"/>
    <w:basedOn w:val="26"/>
    <w:qFormat/>
    <w:uiPriority w:val="0"/>
    <w:pPr>
      <w:ind w:firstLine="480" w:firstLineChars="200"/>
    </w:pPr>
    <w:rPr>
      <w:b/>
    </w:rPr>
  </w:style>
  <w:style w:type="paragraph" w:customStyle="1" w:styleId="29">
    <w:name w:val="标题 5（有编号）（绿盟科技）"/>
    <w:basedOn w:val="1"/>
    <w:next w:val="30"/>
    <w:qFormat/>
    <w:uiPriority w:val="0"/>
    <w:pPr>
      <w:keepNext/>
      <w:keepLines/>
      <w:numPr>
        <w:ilvl w:val="4"/>
        <w:numId w:val="1"/>
      </w:numPr>
      <w:adjustRightInd w:val="0"/>
      <w:snapToGrid w:val="0"/>
      <w:spacing w:before="280" w:after="156" w:line="376" w:lineRule="auto"/>
      <w:jc w:val="left"/>
      <w:outlineLvl w:val="4"/>
    </w:pPr>
    <w:rPr>
      <w:rFonts w:ascii="Arial" w:hAnsi="Arial" w:eastAsia="黑体"/>
      <w:b/>
      <w:sz w:val="24"/>
      <w:szCs w:val="28"/>
    </w:rPr>
  </w:style>
  <w:style w:type="paragraph" w:customStyle="1" w:styleId="30">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31">
    <w:name w:val="正文首行缩进两字符"/>
    <w:basedOn w:val="1"/>
    <w:qFormat/>
    <w:uiPriority w:val="0"/>
    <w:pPr>
      <w:spacing w:line="360" w:lineRule="auto"/>
      <w:ind w:firstLine="200" w:firstLineChars="200"/>
    </w:pPr>
  </w:style>
  <w:style w:type="paragraph" w:customStyle="1" w:styleId="32">
    <w:name w:val="Body Text First Indent 21"/>
    <w:basedOn w:val="33"/>
    <w:qFormat/>
    <w:uiPriority w:val="99"/>
    <w:pPr>
      <w:ind w:firstLine="420" w:firstLineChars="200"/>
    </w:pPr>
  </w:style>
  <w:style w:type="paragraph" w:customStyle="1" w:styleId="33">
    <w:name w:val="Body Text Indent1"/>
    <w:basedOn w:val="1"/>
    <w:qFormat/>
    <w:uiPriority w:val="99"/>
    <w:pPr>
      <w:ind w:left="420" w:leftChars="200"/>
    </w:pPr>
  </w:style>
  <w:style w:type="paragraph" w:customStyle="1" w:styleId="34">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3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6">
    <w:name w:val="Table Paragraph"/>
    <w:basedOn w:val="1"/>
    <w:qFormat/>
    <w:uiPriority w:val="1"/>
    <w:pPr>
      <w:spacing w:before="20"/>
      <w:ind w:left="115"/>
    </w:pPr>
    <w:rPr>
      <w:rFonts w:hAnsi="宋体" w:cs="宋体"/>
      <w:lang w:val="zh-CN" w:bidi="zh-CN"/>
    </w:rPr>
  </w:style>
  <w:style w:type="paragraph" w:styleId="37">
    <w:name w:val="List Paragraph"/>
    <w:basedOn w:val="1"/>
    <w:qFormat/>
    <w:uiPriority w:val="1"/>
    <w:pPr>
      <w:spacing w:before="161"/>
      <w:ind w:left="1437" w:hanging="721"/>
    </w:pPr>
    <w:rPr>
      <w:rFonts w:hAnsi="宋体" w:cs="宋体"/>
      <w:lang w:val="zh-CN" w:bidi="zh-CN"/>
    </w:rPr>
  </w:style>
  <w:style w:type="character" w:customStyle="1" w:styleId="38">
    <w:name w:val="批注框文本 Char"/>
    <w:basedOn w:val="19"/>
    <w:link w:val="12"/>
    <w:qFormat/>
    <w:uiPriority w:val="0"/>
    <w:rPr>
      <w:rFonts w:ascii="宋体" w:hAnsi="Times New Roman" w:eastAsia="宋体"/>
      <w:sz w:val="18"/>
      <w:szCs w:val="18"/>
    </w:rPr>
  </w:style>
  <w:style w:type="character" w:customStyle="1" w:styleId="39">
    <w:name w:val="批注文字 Char"/>
    <w:basedOn w:val="19"/>
    <w:link w:val="7"/>
    <w:qFormat/>
    <w:uiPriority w:val="0"/>
    <w:rPr>
      <w:rFonts w:eastAsia="宋体"/>
      <w:kern w:val="2"/>
      <w:sz w:val="21"/>
      <w:szCs w:val="24"/>
    </w:rPr>
  </w:style>
  <w:style w:type="character" w:customStyle="1" w:styleId="40">
    <w:name w:val="副标题 Char"/>
    <w:basedOn w:val="19"/>
    <w:link w:val="3"/>
    <w:qFormat/>
    <w:uiPriority w:val="0"/>
    <w:rPr>
      <w:rFonts w:ascii="Arial" w:hAnsi="Arial" w:eastAsia="宋体" w:cs="Arial"/>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53864-CFD1-4FB5-9B86-8193E3AFAFC1}">
  <ds:schemaRefs/>
</ds:datastoreItem>
</file>

<file path=docProps/app.xml><?xml version="1.0" encoding="utf-8"?>
<Properties xmlns="http://schemas.openxmlformats.org/officeDocument/2006/extended-properties" xmlns:vt="http://schemas.openxmlformats.org/officeDocument/2006/docPropsVTypes">
  <Template>Normal</Template>
  <Pages>19</Pages>
  <Words>8287</Words>
  <Characters>9059</Characters>
  <Lines>73</Lines>
  <Paragraphs>20</Paragraphs>
  <TotalTime>1</TotalTime>
  <ScaleCrop>false</ScaleCrop>
  <LinksUpToDate>false</LinksUpToDate>
  <CharactersWithSpaces>9354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2022-01-11T00:33:00Z</dcterms:created>
  <dc:creator>熊二</dc:creator>
  <cp:lastModifiedBy>WPS_1601706156</cp:lastModifiedBy>
  <cp:lastPrinted>2021-09-14T08:47:00Z</cp:lastPrinted>
  <dcterms:modified xsi:type="dcterms:W3CDTF">2022-01-12T02:37:07Z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7B5D1C9652974D4392F51A4200BEDB31</vt:lpwstr>
  </property>
</Properties>
</file>